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07AB" w:rsidRDefault="009807AB" w:rsidP="00FB12E3"/>
    <w:p w:rsidR="006A3B6C" w:rsidRDefault="006A3B6C" w:rsidP="006A3B6C">
      <w:pPr>
        <w:spacing w:after="120" w:line="240" w:lineRule="auto"/>
        <w:jc w:val="both"/>
        <w:rPr>
          <w:rFonts w:ascii="Arial" w:eastAsia="Times New Roman" w:hAnsi="Arial" w:cs="Arial"/>
          <w:b/>
          <w:sz w:val="24"/>
          <w:szCs w:val="24"/>
        </w:rPr>
      </w:pPr>
    </w:p>
    <w:p w:rsidR="006A3B6C" w:rsidRDefault="00EC433C" w:rsidP="006A3B6C">
      <w:pPr>
        <w:spacing w:after="120" w:line="240" w:lineRule="auto"/>
        <w:jc w:val="both"/>
        <w:rPr>
          <w:rFonts w:ascii="Arial" w:eastAsia="Times New Roman" w:hAnsi="Arial" w:cs="Arial"/>
          <w:b/>
          <w:sz w:val="24"/>
          <w:szCs w:val="24"/>
        </w:rPr>
      </w:pPr>
      <w:r>
        <w:rPr>
          <w:rFonts w:ascii="Arial" w:eastAsia="Times New Roman" w:hAnsi="Arial" w:cs="Arial"/>
          <w:b/>
          <w:sz w:val="24"/>
          <w:szCs w:val="24"/>
        </w:rPr>
        <w:t xml:space="preserve">Anexa </w:t>
      </w:r>
      <w:r w:rsidR="009A2CD5">
        <w:rPr>
          <w:rFonts w:ascii="Arial" w:eastAsia="Times New Roman" w:hAnsi="Arial" w:cs="Arial"/>
          <w:b/>
          <w:sz w:val="24"/>
          <w:szCs w:val="24"/>
        </w:rPr>
        <w:t>7</w:t>
      </w:r>
      <w:bookmarkStart w:id="0" w:name="_GoBack"/>
      <w:bookmarkEnd w:id="0"/>
      <w:r w:rsidR="006E3D61">
        <w:rPr>
          <w:rFonts w:ascii="Arial" w:eastAsia="Times New Roman" w:hAnsi="Arial" w:cs="Arial"/>
          <w:b/>
          <w:sz w:val="24"/>
          <w:szCs w:val="24"/>
        </w:rPr>
        <w:t>.6</w:t>
      </w:r>
      <w:r w:rsidR="006A3B6C">
        <w:rPr>
          <w:rFonts w:ascii="Arial" w:eastAsia="Times New Roman" w:hAnsi="Arial" w:cs="Arial"/>
          <w:b/>
          <w:sz w:val="24"/>
          <w:szCs w:val="24"/>
        </w:rPr>
        <w:t xml:space="preserve"> –Indicatori de monitorizare ai Strategiei </w:t>
      </w:r>
      <w:r w:rsidR="008D04FD">
        <w:rPr>
          <w:rFonts w:ascii="Arial" w:eastAsia="Times New Roman" w:hAnsi="Arial" w:cs="Arial"/>
          <w:b/>
          <w:sz w:val="24"/>
          <w:szCs w:val="24"/>
        </w:rPr>
        <w:t>Integrate de Dezvoltare Durabilă</w:t>
      </w:r>
      <w:r w:rsidR="006A3B6C">
        <w:rPr>
          <w:rFonts w:ascii="Arial" w:eastAsia="Times New Roman" w:hAnsi="Arial" w:cs="Arial"/>
          <w:b/>
          <w:sz w:val="24"/>
          <w:szCs w:val="24"/>
        </w:rPr>
        <w:t xml:space="preserve"> a Deltei </w:t>
      </w:r>
      <w:r w:rsidR="008D04FD">
        <w:rPr>
          <w:rFonts w:ascii="Arial" w:eastAsia="Times New Roman" w:hAnsi="Arial" w:cs="Arial"/>
          <w:b/>
          <w:sz w:val="24"/>
          <w:szCs w:val="24"/>
        </w:rPr>
        <w:t>Dunării</w:t>
      </w:r>
      <w:r w:rsidR="006A3B6C">
        <w:rPr>
          <w:rFonts w:ascii="Arial" w:eastAsia="Times New Roman" w:hAnsi="Arial" w:cs="Arial"/>
          <w:b/>
          <w:sz w:val="24"/>
          <w:szCs w:val="24"/>
        </w:rPr>
        <w:t xml:space="preserve"> </w:t>
      </w:r>
    </w:p>
    <w:p w:rsidR="006A3B6C" w:rsidRPr="007D6311" w:rsidRDefault="006A3B6C" w:rsidP="006A3B6C">
      <w:pPr>
        <w:spacing w:after="120" w:line="240" w:lineRule="auto"/>
        <w:jc w:val="both"/>
        <w:rPr>
          <w:rFonts w:ascii="Arial" w:eastAsiaTheme="minorHAnsi" w:hAnsi="Arial" w:cs="Arial"/>
          <w:b/>
          <w:bCs/>
          <w:iCs/>
        </w:rPr>
      </w:pPr>
      <w:r w:rsidRPr="007D6311">
        <w:rPr>
          <w:rFonts w:ascii="Arial" w:eastAsia="Times New Roman" w:hAnsi="Arial" w:cs="Arial"/>
          <w:b/>
        </w:rPr>
        <w:t xml:space="preserve">Conform SIDDDD -  Tabel 54 –Indicatori de monitorizare –Cap </w:t>
      </w:r>
      <w:r w:rsidRPr="007D6311">
        <w:rPr>
          <w:rFonts w:ascii="Arial" w:hAnsi="Arial" w:cs="Arial"/>
          <w:b/>
          <w:bCs/>
          <w:iCs/>
        </w:rPr>
        <w:t>VII.4 Indicatori de monitorizare a obiectivelor pe sectoare prioritare</w:t>
      </w:r>
    </w:p>
    <w:p w:rsidR="006A3B6C" w:rsidRPr="006A3B6C" w:rsidRDefault="006A3B6C" w:rsidP="006A3B6C">
      <w:pPr>
        <w:autoSpaceDE w:val="0"/>
        <w:autoSpaceDN w:val="0"/>
        <w:adjustRightInd w:val="0"/>
        <w:spacing w:after="0" w:line="240" w:lineRule="auto"/>
        <w:rPr>
          <w:rFonts w:ascii="Arial" w:hAnsi="Arial" w:cs="Arial"/>
          <w:b/>
          <w:bCs/>
          <w:sz w:val="24"/>
          <w:szCs w:val="24"/>
        </w:rPr>
      </w:pPr>
    </w:p>
    <w:p w:rsidR="006A3B6C" w:rsidRDefault="006A3B6C" w:rsidP="006A3B6C">
      <w:pPr>
        <w:autoSpaceDE w:val="0"/>
        <w:autoSpaceDN w:val="0"/>
        <w:adjustRightInd w:val="0"/>
        <w:spacing w:after="0" w:line="240" w:lineRule="auto"/>
        <w:rPr>
          <w:rFonts w:ascii="Calibri,Bold" w:hAnsi="Calibri,Bold" w:cs="Calibri,Bold"/>
          <w:b/>
          <w:bCs/>
          <w:color w:val="215868"/>
          <w:sz w:val="24"/>
          <w:szCs w:val="24"/>
        </w:rPr>
      </w:pPr>
    </w:p>
    <w:p w:rsidR="006A3B6C" w:rsidRPr="00F02455" w:rsidRDefault="006A3B6C" w:rsidP="006A3B6C">
      <w:pPr>
        <w:autoSpaceDE w:val="0"/>
        <w:autoSpaceDN w:val="0"/>
        <w:adjustRightInd w:val="0"/>
        <w:spacing w:after="0" w:line="240" w:lineRule="auto"/>
        <w:rPr>
          <w:rFonts w:ascii="Arial" w:hAnsi="Arial" w:cs="Arial"/>
          <w:b/>
          <w:bCs/>
          <w:color w:val="215868"/>
          <w:sz w:val="24"/>
          <w:szCs w:val="24"/>
        </w:rPr>
      </w:pPr>
      <w:r w:rsidRPr="00F02455">
        <w:rPr>
          <w:rFonts w:ascii="Arial" w:hAnsi="Arial" w:cs="Arial"/>
          <w:b/>
          <w:bCs/>
          <w:color w:val="215868"/>
          <w:sz w:val="24"/>
          <w:szCs w:val="24"/>
        </w:rPr>
        <w:t>Pilonul I: Protejarea mediului și resurselor naturale</w:t>
      </w:r>
    </w:p>
    <w:p w:rsidR="006A3B6C" w:rsidRDefault="006A3B6C" w:rsidP="006A3B6C">
      <w:pPr>
        <w:autoSpaceDE w:val="0"/>
        <w:autoSpaceDN w:val="0"/>
        <w:adjustRightInd w:val="0"/>
        <w:spacing w:after="0" w:line="240" w:lineRule="auto"/>
        <w:rPr>
          <w:rFonts w:ascii="Calibri,Bold" w:hAnsi="Calibri,Bold" w:cs="Calibri,Bold"/>
          <w:b/>
          <w:bCs/>
          <w:color w:val="215868"/>
          <w:sz w:val="24"/>
          <w:szCs w:val="24"/>
        </w:rPr>
      </w:pPr>
    </w:p>
    <w:p w:rsidR="006A3B6C" w:rsidRPr="006A3B6C" w:rsidRDefault="006A3B6C" w:rsidP="006A3B6C">
      <w:pPr>
        <w:pStyle w:val="ListParagraph"/>
        <w:numPr>
          <w:ilvl w:val="0"/>
          <w:numId w:val="19"/>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Biodiversitate și managementul ecosistemelor</w:t>
      </w:r>
    </w:p>
    <w:p w:rsidR="006A3B6C" w:rsidRPr="006A3B6C" w:rsidRDefault="006A3B6C" w:rsidP="006A3B6C">
      <w:pPr>
        <w:pStyle w:val="ListParagraph"/>
        <w:numPr>
          <w:ilvl w:val="0"/>
          <w:numId w:val="20"/>
        </w:numPr>
        <w:autoSpaceDE w:val="0"/>
        <w:autoSpaceDN w:val="0"/>
        <w:adjustRightInd w:val="0"/>
        <w:spacing w:after="0" w:line="240" w:lineRule="auto"/>
        <w:rPr>
          <w:rFonts w:ascii="Arial" w:hAnsi="Arial" w:cs="Arial"/>
          <w:color w:val="000000"/>
        </w:rPr>
      </w:pPr>
      <w:r w:rsidRPr="006A3B6C">
        <w:rPr>
          <w:rFonts w:ascii="Arial" w:hAnsi="Arial" w:cs="Arial"/>
          <w:color w:val="000000"/>
        </w:rPr>
        <w:t>Plan de Management al Rezervaţiei Biosferei Delta Dunării aprobat şi după caz, actualizat în perioada de implementare a strategiei</w:t>
      </w:r>
    </w:p>
    <w:p w:rsidR="006A3B6C" w:rsidRPr="006A3B6C" w:rsidRDefault="006A3B6C" w:rsidP="006A3B6C">
      <w:pPr>
        <w:pStyle w:val="ListParagraph"/>
        <w:numPr>
          <w:ilvl w:val="0"/>
          <w:numId w:val="20"/>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seturi de măsuri și acțiuni ale Rezervaţiei Biosferei Delta Dunării bazate pe date de monitorizare larg acceptate și pe modele hidrologice, de sedimentare și demografice de ultimă oră, demarate şi implementate</w:t>
      </w:r>
    </w:p>
    <w:p w:rsidR="006A3B6C" w:rsidRPr="006A3B6C" w:rsidRDefault="006A3B6C" w:rsidP="006A3B6C">
      <w:pPr>
        <w:pStyle w:val="ListParagraph"/>
        <w:numPr>
          <w:ilvl w:val="0"/>
          <w:numId w:val="20"/>
        </w:numPr>
        <w:autoSpaceDE w:val="0"/>
        <w:autoSpaceDN w:val="0"/>
        <w:adjustRightInd w:val="0"/>
        <w:spacing w:after="0" w:line="240" w:lineRule="auto"/>
        <w:rPr>
          <w:rFonts w:ascii="Arial" w:hAnsi="Arial" w:cs="Arial"/>
          <w:color w:val="000000"/>
        </w:rPr>
      </w:pPr>
      <w:r w:rsidRPr="006A3B6C">
        <w:rPr>
          <w:rFonts w:ascii="Arial" w:hAnsi="Arial" w:cs="Arial"/>
          <w:color w:val="000000"/>
        </w:rPr>
        <w:t>Suprafața habitatelor sprijinite în vederea obținerii unui stadiu de conservare mai bun</w:t>
      </w:r>
    </w:p>
    <w:p w:rsidR="006A3B6C" w:rsidRPr="006A3B6C" w:rsidRDefault="006A3B6C" w:rsidP="006A3B6C">
      <w:pPr>
        <w:pStyle w:val="ListParagraph"/>
        <w:numPr>
          <w:ilvl w:val="0"/>
          <w:numId w:val="20"/>
        </w:numPr>
        <w:autoSpaceDE w:val="0"/>
        <w:autoSpaceDN w:val="0"/>
        <w:adjustRightInd w:val="0"/>
        <w:spacing w:after="0" w:line="240" w:lineRule="auto"/>
        <w:rPr>
          <w:rFonts w:ascii="Arial" w:hAnsi="Arial" w:cs="Arial"/>
          <w:color w:val="000000"/>
        </w:rPr>
      </w:pPr>
      <w:r w:rsidRPr="006A3B6C">
        <w:rPr>
          <w:rFonts w:ascii="Arial" w:hAnsi="Arial" w:cs="Arial"/>
          <w:color w:val="000000"/>
        </w:rPr>
        <w:t>Ponderea populațiilor de specii de pește valoroase din punct de vedere economic</w:t>
      </w:r>
    </w:p>
    <w:p w:rsidR="006A3B6C" w:rsidRPr="006A3B6C" w:rsidRDefault="006A3B6C" w:rsidP="006A3B6C">
      <w:pPr>
        <w:pStyle w:val="ListParagraph"/>
        <w:numPr>
          <w:ilvl w:val="0"/>
          <w:numId w:val="20"/>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obiective de infrastructură esențială și obiective de interes economic din cadrul RBDD protejate împotriva inundațiilor</w:t>
      </w:r>
    </w:p>
    <w:p w:rsidR="006A3B6C" w:rsidRPr="006A3B6C" w:rsidRDefault="006A3B6C" w:rsidP="006A3B6C">
      <w:pPr>
        <w:pStyle w:val="ListParagraph"/>
        <w:numPr>
          <w:ilvl w:val="0"/>
          <w:numId w:val="20"/>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măsuri/Iniţiative de actualizare a cadrului legislativ și de reglementare pentru managementul și utilizarea RBDD și a resurselor acesteia actualizate pentru a sprijini obiectivele participării sporite a comunității și stimulentele pentru protejare și refacere ecologică</w:t>
      </w:r>
    </w:p>
    <w:p w:rsidR="006A3B6C" w:rsidRDefault="006A3B6C" w:rsidP="006A3B6C">
      <w:pPr>
        <w:pStyle w:val="ListParagraph"/>
        <w:numPr>
          <w:ilvl w:val="0"/>
          <w:numId w:val="20"/>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instituții și cercetători locali și internaționali implicaţi în programul diversificat de cercetare, recunoscut internațional, privind sistemele și resursele naturale și culturale ale DD</w:t>
      </w:r>
    </w:p>
    <w:p w:rsidR="004D2663" w:rsidRPr="006A3B6C" w:rsidRDefault="004D2663" w:rsidP="004D2663">
      <w:pPr>
        <w:pStyle w:val="ListParagraph"/>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ph"/>
        <w:numPr>
          <w:ilvl w:val="0"/>
          <w:numId w:val="19"/>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Eficiență energetică</w:t>
      </w:r>
    </w:p>
    <w:p w:rsidR="006A3B6C" w:rsidRPr="006A3B6C" w:rsidRDefault="006A3B6C" w:rsidP="006A3B6C">
      <w:pPr>
        <w:pStyle w:val="ListParagraph"/>
        <w:numPr>
          <w:ilvl w:val="0"/>
          <w:numId w:val="21"/>
        </w:numPr>
        <w:autoSpaceDE w:val="0"/>
        <w:autoSpaceDN w:val="0"/>
        <w:adjustRightInd w:val="0"/>
        <w:spacing w:after="0" w:line="240" w:lineRule="auto"/>
        <w:rPr>
          <w:rFonts w:ascii="Arial" w:hAnsi="Arial" w:cs="Arial"/>
          <w:color w:val="000000"/>
        </w:rPr>
      </w:pPr>
      <w:r w:rsidRPr="006A3B6C">
        <w:rPr>
          <w:rFonts w:ascii="Arial" w:hAnsi="Arial" w:cs="Arial"/>
          <w:color w:val="000000"/>
        </w:rPr>
        <w:t>Numărul de clădiri publice renovate și consumul de energie finală în clădirile publice</w:t>
      </w:r>
    </w:p>
    <w:p w:rsidR="006A3B6C" w:rsidRPr="006A3B6C" w:rsidRDefault="006A3B6C" w:rsidP="006A3B6C">
      <w:pPr>
        <w:pStyle w:val="ListParagraph"/>
        <w:numPr>
          <w:ilvl w:val="0"/>
          <w:numId w:val="21"/>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clădiri rezidențiale renovate și consumul de energie finală în sectorul rezidențial</w:t>
      </w:r>
    </w:p>
    <w:p w:rsidR="006A3B6C" w:rsidRPr="006A3B6C" w:rsidRDefault="006A3B6C" w:rsidP="006A3B6C">
      <w:pPr>
        <w:pStyle w:val="ListParagraph"/>
        <w:numPr>
          <w:ilvl w:val="0"/>
          <w:numId w:val="21"/>
        </w:numPr>
        <w:autoSpaceDE w:val="0"/>
        <w:autoSpaceDN w:val="0"/>
        <w:adjustRightInd w:val="0"/>
        <w:spacing w:after="0" w:line="240" w:lineRule="auto"/>
        <w:rPr>
          <w:rFonts w:ascii="Arial" w:hAnsi="Arial" w:cs="Arial"/>
          <w:color w:val="000000"/>
        </w:rPr>
      </w:pPr>
      <w:r w:rsidRPr="006A3B6C">
        <w:rPr>
          <w:rFonts w:ascii="Arial" w:hAnsi="Arial" w:cs="Arial"/>
          <w:color w:val="000000"/>
        </w:rPr>
        <w:t>Lungimea reţelei termice reabilitate / extinse</w:t>
      </w:r>
    </w:p>
    <w:p w:rsidR="006A3B6C" w:rsidRDefault="006A3B6C" w:rsidP="006A3B6C">
      <w:pPr>
        <w:pStyle w:val="ListParagraph"/>
        <w:numPr>
          <w:ilvl w:val="0"/>
          <w:numId w:val="21"/>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utilizatori suplimentari de energie conectați la rețele inteligente</w:t>
      </w:r>
    </w:p>
    <w:p w:rsidR="004D2663" w:rsidRPr="006A3B6C" w:rsidRDefault="004D2663" w:rsidP="004D2663">
      <w:pPr>
        <w:pStyle w:val="ListParagraph"/>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ph"/>
        <w:numPr>
          <w:ilvl w:val="0"/>
          <w:numId w:val="19"/>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Schimbări climatice</w:t>
      </w:r>
    </w:p>
    <w:p w:rsidR="006A3B6C" w:rsidRPr="006A3B6C" w:rsidRDefault="006A3B6C" w:rsidP="006A3B6C">
      <w:pPr>
        <w:pStyle w:val="ListParagraph"/>
        <w:numPr>
          <w:ilvl w:val="0"/>
          <w:numId w:val="22"/>
        </w:numPr>
        <w:autoSpaceDE w:val="0"/>
        <w:autoSpaceDN w:val="0"/>
        <w:adjustRightInd w:val="0"/>
        <w:spacing w:after="0" w:line="240" w:lineRule="auto"/>
        <w:rPr>
          <w:rFonts w:ascii="Arial" w:hAnsi="Arial" w:cs="Arial"/>
          <w:color w:val="000000"/>
        </w:rPr>
      </w:pPr>
      <w:r w:rsidRPr="006A3B6C">
        <w:rPr>
          <w:rFonts w:ascii="Arial" w:hAnsi="Arial" w:cs="Arial"/>
          <w:color w:val="000000"/>
        </w:rPr>
        <w:t>Nivelul estimat al emisiilor de gaze cu efect de seră</w:t>
      </w:r>
    </w:p>
    <w:p w:rsidR="006A3B6C" w:rsidRPr="006A3B6C" w:rsidRDefault="006A3B6C" w:rsidP="006A3B6C">
      <w:pPr>
        <w:pStyle w:val="ListParagraph"/>
        <w:numPr>
          <w:ilvl w:val="0"/>
          <w:numId w:val="22"/>
        </w:numPr>
        <w:autoSpaceDE w:val="0"/>
        <w:autoSpaceDN w:val="0"/>
        <w:adjustRightInd w:val="0"/>
        <w:spacing w:after="0" w:line="240" w:lineRule="auto"/>
        <w:rPr>
          <w:rFonts w:ascii="Arial" w:hAnsi="Arial" w:cs="Arial"/>
          <w:color w:val="000000"/>
        </w:rPr>
      </w:pPr>
      <w:r w:rsidRPr="006A3B6C">
        <w:rPr>
          <w:rFonts w:ascii="Arial" w:hAnsi="Arial" w:cs="Arial"/>
          <w:color w:val="000000"/>
        </w:rPr>
        <w:t>Producţia brută de energie primară din surse regenerabile mai puţin exploatate</w:t>
      </w:r>
    </w:p>
    <w:p w:rsidR="006A3B6C" w:rsidRPr="006A3B6C" w:rsidRDefault="006A3B6C" w:rsidP="006A3B6C">
      <w:pPr>
        <w:pStyle w:val="ListParagraph"/>
        <w:numPr>
          <w:ilvl w:val="0"/>
          <w:numId w:val="22"/>
        </w:numPr>
        <w:autoSpaceDE w:val="0"/>
        <w:autoSpaceDN w:val="0"/>
        <w:adjustRightInd w:val="0"/>
        <w:spacing w:after="0" w:line="240" w:lineRule="auto"/>
        <w:rPr>
          <w:rFonts w:ascii="Arial" w:hAnsi="Arial" w:cs="Arial"/>
          <w:color w:val="000000"/>
        </w:rPr>
      </w:pPr>
      <w:r w:rsidRPr="006A3B6C">
        <w:rPr>
          <w:rFonts w:ascii="Arial" w:hAnsi="Arial" w:cs="Arial"/>
          <w:color w:val="000000"/>
        </w:rPr>
        <w:t>Nivelul de investiție în măsurile de adaptare la schimbările climatice</w:t>
      </w:r>
    </w:p>
    <w:p w:rsidR="006A3B6C" w:rsidRPr="006A3B6C" w:rsidRDefault="006A3B6C" w:rsidP="006A3B6C">
      <w:pPr>
        <w:pStyle w:val="ListParagraph"/>
        <w:numPr>
          <w:ilvl w:val="0"/>
          <w:numId w:val="22"/>
        </w:numPr>
        <w:autoSpaceDE w:val="0"/>
        <w:autoSpaceDN w:val="0"/>
        <w:adjustRightInd w:val="0"/>
        <w:spacing w:after="0" w:line="240" w:lineRule="auto"/>
        <w:rPr>
          <w:rFonts w:ascii="Arial" w:hAnsi="Arial" w:cs="Arial"/>
          <w:color w:val="000000"/>
        </w:rPr>
      </w:pPr>
      <w:r w:rsidRPr="006A3B6C">
        <w:rPr>
          <w:rFonts w:ascii="Arial" w:hAnsi="Arial" w:cs="Arial"/>
          <w:color w:val="000000"/>
        </w:rPr>
        <w:t>Numărul gospodăriilor cu o clasificare mai bună a consumului de energie</w:t>
      </w:r>
    </w:p>
    <w:p w:rsidR="006A3B6C" w:rsidRDefault="006A3B6C" w:rsidP="006A3B6C">
      <w:pPr>
        <w:pStyle w:val="ListParagraph"/>
        <w:numPr>
          <w:ilvl w:val="0"/>
          <w:numId w:val="22"/>
        </w:numPr>
        <w:autoSpaceDE w:val="0"/>
        <w:autoSpaceDN w:val="0"/>
        <w:adjustRightInd w:val="0"/>
        <w:spacing w:after="0" w:line="240" w:lineRule="auto"/>
        <w:rPr>
          <w:rFonts w:ascii="Arial" w:hAnsi="Arial" w:cs="Arial"/>
          <w:color w:val="000000"/>
        </w:rPr>
      </w:pPr>
      <w:r w:rsidRPr="006A3B6C">
        <w:rPr>
          <w:rFonts w:ascii="Arial" w:hAnsi="Arial" w:cs="Arial"/>
          <w:color w:val="000000"/>
        </w:rPr>
        <w:t>Evoluția consumului anual de energie primară în clădirile publice</w:t>
      </w:r>
    </w:p>
    <w:p w:rsidR="004D2663" w:rsidRPr="006A3B6C" w:rsidRDefault="004D2663" w:rsidP="004D2663">
      <w:pPr>
        <w:pStyle w:val="ListParagraph"/>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ph"/>
        <w:numPr>
          <w:ilvl w:val="0"/>
          <w:numId w:val="19"/>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Managementul riscului în caz de dezastre</w:t>
      </w:r>
    </w:p>
    <w:p w:rsidR="006A3B6C" w:rsidRPr="006A3B6C" w:rsidRDefault="006A3B6C" w:rsidP="006A3B6C">
      <w:pPr>
        <w:pStyle w:val="ListParagraph"/>
        <w:numPr>
          <w:ilvl w:val="0"/>
          <w:numId w:val="23"/>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locuitori care beneficiază de măsuri de protecție împotriva inundațiilor</w:t>
      </w:r>
    </w:p>
    <w:p w:rsidR="006A3B6C" w:rsidRPr="006A3B6C" w:rsidRDefault="006A3B6C" w:rsidP="006A3B6C">
      <w:pPr>
        <w:pStyle w:val="ListParagraph"/>
        <w:numPr>
          <w:ilvl w:val="0"/>
          <w:numId w:val="23"/>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exerciții cu intervenție de urgență în caz de dezastru (anual)</w:t>
      </w:r>
    </w:p>
    <w:p w:rsidR="006A3B6C" w:rsidRPr="006A3B6C" w:rsidRDefault="006A3B6C" w:rsidP="006A3B6C">
      <w:pPr>
        <w:pStyle w:val="ListParagraph"/>
        <w:numPr>
          <w:ilvl w:val="0"/>
          <w:numId w:val="23"/>
        </w:numPr>
        <w:autoSpaceDE w:val="0"/>
        <w:autoSpaceDN w:val="0"/>
        <w:adjustRightInd w:val="0"/>
        <w:spacing w:after="0" w:line="240" w:lineRule="auto"/>
        <w:rPr>
          <w:rFonts w:ascii="Arial" w:hAnsi="Arial" w:cs="Arial"/>
          <w:color w:val="000000"/>
        </w:rPr>
      </w:pPr>
      <w:r w:rsidRPr="006A3B6C">
        <w:rPr>
          <w:rFonts w:ascii="Arial" w:hAnsi="Arial" w:cs="Arial"/>
          <w:color w:val="000000"/>
        </w:rPr>
        <w:t>Timpul mediu de răspuns la situaţii de urgenţă</w:t>
      </w:r>
    </w:p>
    <w:p w:rsidR="006A3B6C" w:rsidRPr="006A3B6C" w:rsidRDefault="006A3B6C" w:rsidP="006A3B6C">
      <w:pPr>
        <w:pStyle w:val="ListParagraph"/>
        <w:numPr>
          <w:ilvl w:val="0"/>
          <w:numId w:val="23"/>
        </w:numPr>
        <w:autoSpaceDE w:val="0"/>
        <w:autoSpaceDN w:val="0"/>
        <w:adjustRightInd w:val="0"/>
        <w:spacing w:after="0" w:line="240" w:lineRule="auto"/>
        <w:rPr>
          <w:rFonts w:ascii="Arial" w:hAnsi="Arial" w:cs="Arial"/>
          <w:color w:val="000000"/>
        </w:rPr>
      </w:pPr>
      <w:r w:rsidRPr="006A3B6C">
        <w:rPr>
          <w:rFonts w:ascii="Arial" w:hAnsi="Arial" w:cs="Arial"/>
          <w:color w:val="000000"/>
        </w:rPr>
        <w:t>Inventar cu deșeuri periculoase și sistem de management al informațiilor existente (da sau nu)</w:t>
      </w:r>
    </w:p>
    <w:p w:rsidR="006A3B6C" w:rsidRDefault="006A3B6C" w:rsidP="006A3B6C">
      <w:pPr>
        <w:pStyle w:val="ListParagraph"/>
        <w:numPr>
          <w:ilvl w:val="0"/>
          <w:numId w:val="23"/>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planuri de intervenție disponibile</w:t>
      </w:r>
    </w:p>
    <w:p w:rsidR="004D2663" w:rsidRPr="006A3B6C" w:rsidRDefault="004D2663" w:rsidP="004D2663">
      <w:pPr>
        <w:pStyle w:val="ListParagraph"/>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ph"/>
        <w:numPr>
          <w:ilvl w:val="0"/>
          <w:numId w:val="19"/>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Situații de urgență asociate riscurilor de poluare</w:t>
      </w:r>
    </w:p>
    <w:p w:rsidR="006A3B6C" w:rsidRPr="006A3B6C" w:rsidRDefault="006A3B6C" w:rsidP="006A3B6C">
      <w:pPr>
        <w:pStyle w:val="ListParagraph"/>
        <w:numPr>
          <w:ilvl w:val="0"/>
          <w:numId w:val="24"/>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incidente de poluare în regiunea DD (anual)</w:t>
      </w:r>
    </w:p>
    <w:p w:rsidR="006A3B6C" w:rsidRPr="006A3B6C" w:rsidRDefault="006A3B6C" w:rsidP="006A3B6C">
      <w:pPr>
        <w:pStyle w:val="ListParagraph"/>
        <w:numPr>
          <w:ilvl w:val="0"/>
          <w:numId w:val="24"/>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exerciții cu intervenție de urgență în caz de poluare (anual)</w:t>
      </w:r>
    </w:p>
    <w:p w:rsidR="006A3B6C" w:rsidRPr="006A3B6C" w:rsidRDefault="006A3B6C" w:rsidP="006A3B6C">
      <w:pPr>
        <w:pStyle w:val="ListParagraph"/>
        <w:numPr>
          <w:ilvl w:val="0"/>
          <w:numId w:val="24"/>
        </w:numPr>
        <w:autoSpaceDE w:val="0"/>
        <w:autoSpaceDN w:val="0"/>
        <w:adjustRightInd w:val="0"/>
        <w:spacing w:after="0" w:line="240" w:lineRule="auto"/>
        <w:rPr>
          <w:rFonts w:ascii="Arial" w:hAnsi="Arial" w:cs="Arial"/>
          <w:color w:val="000000"/>
        </w:rPr>
      </w:pPr>
      <w:r w:rsidRPr="006A3B6C">
        <w:rPr>
          <w:rFonts w:ascii="Arial" w:hAnsi="Arial" w:cs="Arial"/>
          <w:color w:val="000000"/>
        </w:rPr>
        <w:t>Durata medie pentru a opri incidentele de poluare (zile)</w:t>
      </w:r>
    </w:p>
    <w:p w:rsidR="006A3B6C" w:rsidRPr="006A3B6C" w:rsidRDefault="006A3B6C" w:rsidP="006A3B6C">
      <w:pPr>
        <w:pStyle w:val="ListParagraph"/>
        <w:numPr>
          <w:ilvl w:val="0"/>
          <w:numId w:val="24"/>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planuri de prevenire a poluării disponibile</w:t>
      </w:r>
    </w:p>
    <w:p w:rsidR="00881694" w:rsidRDefault="00881694" w:rsidP="006A3B6C">
      <w:pPr>
        <w:autoSpaceDE w:val="0"/>
        <w:autoSpaceDN w:val="0"/>
        <w:adjustRightInd w:val="0"/>
        <w:spacing w:after="0" w:line="240" w:lineRule="auto"/>
        <w:rPr>
          <w:rFonts w:ascii="Arial" w:hAnsi="Arial" w:cs="Arial"/>
          <w:b/>
          <w:bCs/>
          <w:color w:val="215868"/>
          <w:sz w:val="24"/>
          <w:szCs w:val="24"/>
        </w:rPr>
      </w:pPr>
    </w:p>
    <w:p w:rsidR="00881694" w:rsidRDefault="00881694" w:rsidP="006A3B6C">
      <w:pPr>
        <w:autoSpaceDE w:val="0"/>
        <w:autoSpaceDN w:val="0"/>
        <w:adjustRightInd w:val="0"/>
        <w:spacing w:after="0" w:line="240" w:lineRule="auto"/>
        <w:rPr>
          <w:rFonts w:ascii="Arial" w:hAnsi="Arial" w:cs="Arial"/>
          <w:b/>
          <w:bCs/>
          <w:color w:val="215868"/>
          <w:sz w:val="24"/>
          <w:szCs w:val="24"/>
        </w:rPr>
      </w:pPr>
    </w:p>
    <w:p w:rsidR="006A3B6C" w:rsidRPr="00F02455" w:rsidRDefault="006A3B6C" w:rsidP="006A3B6C">
      <w:pPr>
        <w:autoSpaceDE w:val="0"/>
        <w:autoSpaceDN w:val="0"/>
        <w:adjustRightInd w:val="0"/>
        <w:spacing w:after="0" w:line="240" w:lineRule="auto"/>
        <w:rPr>
          <w:rFonts w:ascii="Arial" w:hAnsi="Arial" w:cs="Arial"/>
          <w:b/>
          <w:bCs/>
          <w:color w:val="215868"/>
          <w:sz w:val="24"/>
          <w:szCs w:val="24"/>
        </w:rPr>
      </w:pPr>
      <w:r w:rsidRPr="00F02455">
        <w:rPr>
          <w:rFonts w:ascii="Arial" w:hAnsi="Arial" w:cs="Arial"/>
          <w:b/>
          <w:bCs/>
          <w:color w:val="215868"/>
          <w:sz w:val="24"/>
          <w:szCs w:val="24"/>
        </w:rPr>
        <w:lastRenderedPageBreak/>
        <w:t>Pilonul II: Îmbunătățirea economiei</w:t>
      </w:r>
    </w:p>
    <w:p w:rsidR="00EA5147" w:rsidRPr="006A3B6C" w:rsidRDefault="00EA5147" w:rsidP="006A3B6C">
      <w:pPr>
        <w:autoSpaceDE w:val="0"/>
        <w:autoSpaceDN w:val="0"/>
        <w:adjustRightInd w:val="0"/>
        <w:spacing w:after="0" w:line="240" w:lineRule="auto"/>
        <w:rPr>
          <w:rFonts w:ascii="Arial" w:hAnsi="Arial" w:cs="Arial"/>
          <w:b/>
          <w:bCs/>
          <w:color w:val="215868"/>
        </w:rPr>
      </w:pPr>
    </w:p>
    <w:p w:rsidR="006A3B6C" w:rsidRPr="006A3B6C" w:rsidRDefault="006A3B6C" w:rsidP="006A3B6C">
      <w:pPr>
        <w:pStyle w:val="ListParagraph"/>
        <w:numPr>
          <w:ilvl w:val="0"/>
          <w:numId w:val="25"/>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Turism</w:t>
      </w:r>
    </w:p>
    <w:p w:rsidR="006A3B6C" w:rsidRP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Sosiri ale turiștilor pe lună (distribuție pe an)</w:t>
      </w:r>
    </w:p>
    <w:p w:rsidR="006A3B6C" w:rsidRP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permise de intrare în RBDD</w:t>
      </w:r>
    </w:p>
    <w:p w:rsidR="006A3B6C" w:rsidRP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ambarcațiuni disponibile pentru turiști la principalele puncte de ieșire și puncte nodale (rute monitorizate)</w:t>
      </w:r>
    </w:p>
    <w:p w:rsidR="006A3B6C" w:rsidRP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Ratele de ocupare pentru cazările autorizate / oficiale</w:t>
      </w:r>
    </w:p>
    <w:p w:rsidR="006A3B6C" w:rsidRP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Cheltuielile medii pe un turist într-un sejur</w:t>
      </w:r>
    </w:p>
    <w:p w:rsidR="006A3B6C" w:rsidRP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Durata medie a sejurului (nopți))</w:t>
      </w:r>
    </w:p>
    <w:p w:rsidR="006A3B6C" w:rsidRP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Ponderea structurilor de cazare turistice deschise tot anul (%)</w:t>
      </w:r>
    </w:p>
    <w:p w:rsidR="006A3B6C" w:rsidRP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și pondere din locurile de muncă în turism (locurile de muncă permanente vs. temporare)</w:t>
      </w:r>
    </w:p>
    <w:p w:rsidR="006A3B6C" w:rsidRP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Gradul de satisfacție a vizitatorilor privind serviciile turistice</w:t>
      </w:r>
    </w:p>
    <w:p w:rsidR="006A3B6C" w:rsidRP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Percepția raportului calitate/preț</w:t>
      </w:r>
    </w:p>
    <w:p w:rsidR="006A3B6C" w:rsidRP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Gradul în care vizitatorii revin (%)</w:t>
      </w:r>
    </w:p>
    <w:p w:rsidR="006A3B6C" w:rsidRP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locuitori ocupați în turism (locuri de muncă directe și indirecte, raportul dintre locurile de muncă în turism și totalul locurilor de muncă)</w:t>
      </w:r>
    </w:p>
    <w:p w:rsidR="006A3B6C" w:rsidRP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Venituri generate de turism raportate la veniturile totale generate în economia locală (%)</w:t>
      </w:r>
    </w:p>
    <w:p w:rsidR="006A3B6C" w:rsidRP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case tradiționale menținute/ reabilitate incluse in circuitul turistic</w:t>
      </w:r>
    </w:p>
    <w:p w:rsidR="006A3B6C" w:rsidRP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Gradul de satisfacție a locuitorilor privind dezvoltarea turismului în zonă (%)</w:t>
      </w:r>
    </w:p>
    <w:p w:rsidR="006A3B6C" w:rsidRP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Proporția produselor si serviciilor locale din totalul produselor si serviciilor</w:t>
      </w:r>
    </w:p>
    <w:p w:rsid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Raportul dintre rezidenții și nerezidenții ce dețin terenuri / imobile în DD</w:t>
      </w:r>
    </w:p>
    <w:p w:rsidR="007D6311" w:rsidRPr="006A3B6C" w:rsidRDefault="007D6311" w:rsidP="007D6311">
      <w:pPr>
        <w:pStyle w:val="ListParagraph"/>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ph"/>
        <w:numPr>
          <w:ilvl w:val="0"/>
          <w:numId w:val="25"/>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Pescuit și acvacultură</w:t>
      </w:r>
    </w:p>
    <w:p w:rsidR="006A3B6C" w:rsidRPr="006A3B6C" w:rsidRDefault="006A3B6C" w:rsidP="006A3B6C">
      <w:pPr>
        <w:pStyle w:val="ListParagraph"/>
        <w:numPr>
          <w:ilvl w:val="0"/>
          <w:numId w:val="2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locurilor de muncă din domeniul pescăresc pe activități specifice</w:t>
      </w:r>
    </w:p>
    <w:p w:rsidR="006A3B6C" w:rsidRPr="006A3B6C" w:rsidRDefault="006A3B6C" w:rsidP="006A3B6C">
      <w:pPr>
        <w:pStyle w:val="ListParagraph"/>
        <w:numPr>
          <w:ilvl w:val="0"/>
          <w:numId w:val="27"/>
        </w:numPr>
        <w:autoSpaceDE w:val="0"/>
        <w:autoSpaceDN w:val="0"/>
        <w:adjustRightInd w:val="0"/>
        <w:spacing w:after="0" w:line="240" w:lineRule="auto"/>
        <w:rPr>
          <w:rFonts w:ascii="Arial" w:hAnsi="Arial" w:cs="Arial"/>
          <w:color w:val="000000"/>
        </w:rPr>
      </w:pPr>
      <w:r w:rsidRPr="006A3B6C">
        <w:rPr>
          <w:rFonts w:ascii="Arial" w:hAnsi="Arial" w:cs="Arial"/>
          <w:color w:val="000000"/>
        </w:rPr>
        <w:t>Mărimea populațiilor de specii de pești răpitori</w:t>
      </w:r>
    </w:p>
    <w:p w:rsidR="006A3B6C" w:rsidRPr="006A3B6C" w:rsidRDefault="006A3B6C" w:rsidP="006A3B6C">
      <w:pPr>
        <w:pStyle w:val="ListParagraph"/>
        <w:numPr>
          <w:ilvl w:val="0"/>
          <w:numId w:val="27"/>
        </w:numPr>
        <w:autoSpaceDE w:val="0"/>
        <w:autoSpaceDN w:val="0"/>
        <w:adjustRightInd w:val="0"/>
        <w:spacing w:after="0" w:line="240" w:lineRule="auto"/>
        <w:rPr>
          <w:rFonts w:ascii="Arial" w:hAnsi="Arial" w:cs="Arial"/>
          <w:color w:val="000000"/>
        </w:rPr>
      </w:pPr>
      <w:r w:rsidRPr="006A3B6C">
        <w:rPr>
          <w:rFonts w:ascii="Arial" w:hAnsi="Arial" w:cs="Arial"/>
          <w:color w:val="000000"/>
        </w:rPr>
        <w:t>Dinamica populației de caras</w:t>
      </w:r>
    </w:p>
    <w:p w:rsidR="006A3B6C" w:rsidRDefault="006A3B6C" w:rsidP="006A3B6C">
      <w:pPr>
        <w:pStyle w:val="ListParagraph"/>
        <w:numPr>
          <w:ilvl w:val="0"/>
          <w:numId w:val="2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investiții/proiecte în acvacultură</w:t>
      </w:r>
    </w:p>
    <w:p w:rsidR="007D6311" w:rsidRPr="006A3B6C" w:rsidRDefault="007D6311" w:rsidP="007D6311">
      <w:pPr>
        <w:pStyle w:val="ListParagraph"/>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ph"/>
        <w:numPr>
          <w:ilvl w:val="0"/>
          <w:numId w:val="25"/>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Agricultură și dezvoltare rurală</w:t>
      </w:r>
    </w:p>
    <w:p w:rsidR="006A3B6C" w:rsidRPr="006A3B6C" w:rsidRDefault="006A3B6C" w:rsidP="006A3B6C">
      <w:pPr>
        <w:pStyle w:val="ListParagraph"/>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fermieri/asociații cu acces la rețele de promovare</w:t>
      </w:r>
    </w:p>
    <w:p w:rsidR="006A3B6C" w:rsidRPr="006A3B6C" w:rsidRDefault="006A3B6C" w:rsidP="006A3B6C">
      <w:pPr>
        <w:pStyle w:val="ListParagraph"/>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paticipanți la programe de educație / formare profesională</w:t>
      </w:r>
    </w:p>
    <w:p w:rsidR="006A3B6C" w:rsidRPr="006A3B6C" w:rsidRDefault="006A3B6C" w:rsidP="006A3B6C">
      <w:pPr>
        <w:pStyle w:val="ListParagraph"/>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Ponderea infrastructurii de irigații reabilitate din totalul infrastructurii de irigații viabile (%)</w:t>
      </w:r>
    </w:p>
    <w:p w:rsidR="006A3B6C" w:rsidRPr="006A3B6C" w:rsidRDefault="006A3B6C" w:rsidP="006A3B6C">
      <w:pPr>
        <w:pStyle w:val="ListParagraph"/>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Suprafața de teren neproductiv împădurit</w:t>
      </w:r>
    </w:p>
    <w:p w:rsidR="006A3B6C" w:rsidRPr="006A3B6C" w:rsidRDefault="006A3B6C" w:rsidP="006A3B6C">
      <w:pPr>
        <w:pStyle w:val="ListParagraph"/>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intervenții de protecție împotriva inundațiilor</w:t>
      </w:r>
    </w:p>
    <w:p w:rsidR="006A3B6C" w:rsidRPr="006A3B6C" w:rsidRDefault="006A3B6C" w:rsidP="006A3B6C">
      <w:pPr>
        <w:pStyle w:val="ListParagraph"/>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 de teren acordat fermierilor din totalul terenului public disponibil</w:t>
      </w:r>
    </w:p>
    <w:p w:rsidR="006A3B6C" w:rsidRPr="006A3B6C" w:rsidRDefault="006A3B6C" w:rsidP="006A3B6C">
      <w:pPr>
        <w:pStyle w:val="ListParagraph"/>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 de fermieri care au intrat într-o schemă pentru micii fermieri</w:t>
      </w:r>
    </w:p>
    <w:p w:rsidR="006A3B6C" w:rsidRPr="006A3B6C" w:rsidRDefault="006A3B6C" w:rsidP="006A3B6C">
      <w:pPr>
        <w:pStyle w:val="ListParagraph"/>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 de fermieri care au deschis o activitate non-agicolă</w:t>
      </w:r>
    </w:p>
    <w:p w:rsidR="006A3B6C" w:rsidRPr="006A3B6C" w:rsidRDefault="006A3B6C" w:rsidP="006A3B6C">
      <w:pPr>
        <w:pStyle w:val="ListParagraph"/>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 de inițiative/proiecte care valorifică patrimoniul cultural al zonei</w:t>
      </w:r>
    </w:p>
    <w:p w:rsidR="006A3B6C" w:rsidRDefault="006A3B6C" w:rsidP="006A3B6C">
      <w:pPr>
        <w:pStyle w:val="ListParagraph"/>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 din infrastructura comunală și sătească modernizată</w:t>
      </w:r>
    </w:p>
    <w:p w:rsidR="007D6311" w:rsidRDefault="007D6311" w:rsidP="007D6311">
      <w:pPr>
        <w:pStyle w:val="ListParagraph"/>
        <w:autoSpaceDE w:val="0"/>
        <w:autoSpaceDN w:val="0"/>
        <w:adjustRightInd w:val="0"/>
        <w:spacing w:after="0" w:line="240" w:lineRule="auto"/>
        <w:ind w:left="1068"/>
        <w:rPr>
          <w:rFonts w:ascii="Arial" w:hAnsi="Arial" w:cs="Arial"/>
          <w:color w:val="000000"/>
        </w:rPr>
      </w:pPr>
    </w:p>
    <w:p w:rsidR="006A3B6C" w:rsidRPr="006504E7" w:rsidRDefault="006A3B6C" w:rsidP="006A3B6C">
      <w:pPr>
        <w:autoSpaceDE w:val="0"/>
        <w:autoSpaceDN w:val="0"/>
        <w:adjustRightInd w:val="0"/>
        <w:spacing w:after="0" w:line="240" w:lineRule="auto"/>
        <w:rPr>
          <w:rFonts w:ascii="Arial" w:hAnsi="Arial" w:cs="Arial"/>
          <w:b/>
          <w:bCs/>
          <w:color w:val="215868"/>
          <w:sz w:val="24"/>
          <w:szCs w:val="24"/>
        </w:rPr>
      </w:pPr>
      <w:r w:rsidRPr="006504E7">
        <w:rPr>
          <w:rFonts w:ascii="Arial" w:hAnsi="Arial" w:cs="Arial"/>
          <w:b/>
          <w:bCs/>
          <w:color w:val="215868"/>
          <w:sz w:val="24"/>
          <w:szCs w:val="24"/>
        </w:rPr>
        <w:t>Pilonul III: Îmbunătățirea conectivității</w:t>
      </w:r>
    </w:p>
    <w:p w:rsidR="007D6311" w:rsidRPr="006504E7" w:rsidRDefault="007D6311" w:rsidP="006A3B6C">
      <w:pPr>
        <w:autoSpaceDE w:val="0"/>
        <w:autoSpaceDN w:val="0"/>
        <w:adjustRightInd w:val="0"/>
        <w:spacing w:after="0" w:line="240" w:lineRule="auto"/>
        <w:rPr>
          <w:rFonts w:ascii="Arial" w:hAnsi="Arial" w:cs="Arial"/>
          <w:b/>
          <w:bCs/>
          <w:color w:val="215868"/>
          <w:sz w:val="24"/>
          <w:szCs w:val="24"/>
        </w:rPr>
      </w:pPr>
    </w:p>
    <w:p w:rsidR="006A3B6C" w:rsidRPr="006A3B6C" w:rsidRDefault="006A3B6C" w:rsidP="006A3B6C">
      <w:pPr>
        <w:pStyle w:val="ListParagraph"/>
        <w:numPr>
          <w:ilvl w:val="0"/>
          <w:numId w:val="29"/>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Transport</w:t>
      </w:r>
    </w:p>
    <w:p w:rsidR="006A3B6C" w:rsidRPr="006A3B6C" w:rsidRDefault="006A3B6C" w:rsidP="006A3B6C">
      <w:pPr>
        <w:pStyle w:val="ListParagraph"/>
        <w:numPr>
          <w:ilvl w:val="0"/>
          <w:numId w:val="30"/>
        </w:numPr>
        <w:autoSpaceDE w:val="0"/>
        <w:autoSpaceDN w:val="0"/>
        <w:adjustRightInd w:val="0"/>
        <w:spacing w:after="0" w:line="240" w:lineRule="auto"/>
        <w:rPr>
          <w:rFonts w:ascii="Arial" w:hAnsi="Arial" w:cs="Arial"/>
          <w:color w:val="000000"/>
        </w:rPr>
      </w:pPr>
      <w:r w:rsidRPr="006A3B6C">
        <w:rPr>
          <w:rFonts w:ascii="Arial" w:hAnsi="Arial" w:cs="Arial"/>
          <w:color w:val="000000"/>
        </w:rPr>
        <w:t>Durată de călătorie între Tulcea și municipiile Constanța, Brăila, Galați</w:t>
      </w:r>
    </w:p>
    <w:p w:rsidR="006A3B6C" w:rsidRPr="006A3B6C" w:rsidRDefault="006A3B6C" w:rsidP="006A3B6C">
      <w:pPr>
        <w:pStyle w:val="ListParagraph"/>
        <w:numPr>
          <w:ilvl w:val="0"/>
          <w:numId w:val="30"/>
        </w:numPr>
        <w:autoSpaceDE w:val="0"/>
        <w:autoSpaceDN w:val="0"/>
        <w:adjustRightInd w:val="0"/>
        <w:spacing w:after="0" w:line="240" w:lineRule="auto"/>
        <w:rPr>
          <w:rFonts w:ascii="Arial" w:hAnsi="Arial" w:cs="Arial"/>
          <w:color w:val="000000"/>
        </w:rPr>
      </w:pPr>
      <w:r w:rsidRPr="006A3B6C">
        <w:rPr>
          <w:rFonts w:ascii="Arial" w:hAnsi="Arial" w:cs="Arial"/>
          <w:color w:val="000000"/>
        </w:rPr>
        <w:t>Volum de mărfuri transportate pe căi navigabile interioare</w:t>
      </w:r>
    </w:p>
    <w:p w:rsidR="006A3B6C" w:rsidRPr="006A3B6C" w:rsidRDefault="006A3B6C" w:rsidP="006A3B6C">
      <w:pPr>
        <w:pStyle w:val="ListParagraph"/>
        <w:numPr>
          <w:ilvl w:val="0"/>
          <w:numId w:val="30"/>
        </w:numPr>
        <w:autoSpaceDE w:val="0"/>
        <w:autoSpaceDN w:val="0"/>
        <w:adjustRightInd w:val="0"/>
        <w:spacing w:after="0" w:line="240" w:lineRule="auto"/>
        <w:rPr>
          <w:rFonts w:ascii="Arial" w:hAnsi="Arial" w:cs="Arial"/>
          <w:color w:val="000000"/>
        </w:rPr>
      </w:pPr>
      <w:r w:rsidRPr="006A3B6C">
        <w:rPr>
          <w:rFonts w:ascii="Arial" w:hAnsi="Arial" w:cs="Arial"/>
          <w:color w:val="000000"/>
        </w:rPr>
        <w:t>Volum de mărfuri containerizat manipulat în unităţi de transport intermodal</w:t>
      </w:r>
    </w:p>
    <w:p w:rsidR="006A3B6C" w:rsidRPr="006A3B6C" w:rsidRDefault="006A3B6C" w:rsidP="006A3B6C">
      <w:pPr>
        <w:pStyle w:val="ListParagraph"/>
        <w:numPr>
          <w:ilvl w:val="0"/>
          <w:numId w:val="30"/>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pasageri îmbarcaţi şi debarcaţi în transportul aeroportuar</w:t>
      </w:r>
    </w:p>
    <w:p w:rsidR="006A3B6C" w:rsidRPr="006A3B6C" w:rsidRDefault="006A3B6C" w:rsidP="006A3B6C">
      <w:pPr>
        <w:pStyle w:val="ListParagraph"/>
        <w:numPr>
          <w:ilvl w:val="0"/>
          <w:numId w:val="30"/>
        </w:numPr>
        <w:autoSpaceDE w:val="0"/>
        <w:autoSpaceDN w:val="0"/>
        <w:adjustRightInd w:val="0"/>
        <w:spacing w:after="0" w:line="240" w:lineRule="auto"/>
        <w:rPr>
          <w:rFonts w:ascii="Arial" w:hAnsi="Arial" w:cs="Arial"/>
          <w:color w:val="000000"/>
        </w:rPr>
      </w:pPr>
      <w:r w:rsidRPr="006A3B6C">
        <w:rPr>
          <w:rFonts w:ascii="Arial" w:hAnsi="Arial" w:cs="Arial"/>
          <w:color w:val="000000"/>
        </w:rPr>
        <w:t>Durată de călătorie între toate localitățile și municipiile reședință de județ</w:t>
      </w:r>
    </w:p>
    <w:p w:rsidR="006A3B6C" w:rsidRPr="006A3B6C" w:rsidRDefault="006A3B6C" w:rsidP="006A3B6C">
      <w:pPr>
        <w:pStyle w:val="ListParagraph"/>
        <w:numPr>
          <w:ilvl w:val="0"/>
          <w:numId w:val="30"/>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intervenții privind accesul îmbunătățit la principalele servicii pe timpul iernii</w:t>
      </w:r>
    </w:p>
    <w:p w:rsidR="006A3B6C" w:rsidRDefault="006A3B6C" w:rsidP="006A3B6C">
      <w:pPr>
        <w:pStyle w:val="ListParagraph"/>
        <w:numPr>
          <w:ilvl w:val="0"/>
          <w:numId w:val="30"/>
        </w:numPr>
        <w:autoSpaceDE w:val="0"/>
        <w:autoSpaceDN w:val="0"/>
        <w:adjustRightInd w:val="0"/>
        <w:spacing w:after="0" w:line="240" w:lineRule="auto"/>
        <w:rPr>
          <w:rFonts w:ascii="Arial" w:hAnsi="Arial" w:cs="Arial"/>
          <w:color w:val="000000"/>
        </w:rPr>
      </w:pPr>
      <w:r w:rsidRPr="006A3B6C">
        <w:rPr>
          <w:rFonts w:ascii="Arial" w:hAnsi="Arial" w:cs="Arial"/>
          <w:color w:val="000000"/>
        </w:rPr>
        <w:t>Numărul de ambarcațiuni publice și private puse la dispoziția călătorilor</w:t>
      </w:r>
    </w:p>
    <w:p w:rsidR="0005576D" w:rsidRPr="006A3B6C" w:rsidRDefault="0005576D" w:rsidP="0005576D">
      <w:pPr>
        <w:pStyle w:val="ListParagraph"/>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ph"/>
        <w:numPr>
          <w:ilvl w:val="0"/>
          <w:numId w:val="29"/>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Tehnologia informației și comunicațiilor</w:t>
      </w:r>
    </w:p>
    <w:p w:rsidR="006A3B6C" w:rsidRPr="006A3B6C" w:rsidRDefault="006A3B6C" w:rsidP="006A3B6C">
      <w:pPr>
        <w:pStyle w:val="ListParagraph"/>
        <w:numPr>
          <w:ilvl w:val="0"/>
          <w:numId w:val="31"/>
        </w:numPr>
        <w:autoSpaceDE w:val="0"/>
        <w:autoSpaceDN w:val="0"/>
        <w:adjustRightInd w:val="0"/>
        <w:spacing w:after="0" w:line="240" w:lineRule="auto"/>
        <w:rPr>
          <w:rFonts w:ascii="Arial" w:hAnsi="Arial" w:cs="Arial"/>
          <w:color w:val="000000"/>
        </w:rPr>
      </w:pPr>
      <w:r w:rsidRPr="006A3B6C">
        <w:rPr>
          <w:rFonts w:ascii="Arial" w:hAnsi="Arial" w:cs="Arial"/>
          <w:color w:val="000000"/>
        </w:rPr>
        <w:t>Gradul de utilizare cu regularitate a internetului de către populația zonei</w:t>
      </w:r>
    </w:p>
    <w:p w:rsidR="006A3B6C" w:rsidRPr="006A3B6C" w:rsidRDefault="006A3B6C" w:rsidP="006A3B6C">
      <w:pPr>
        <w:pStyle w:val="ListParagraph"/>
        <w:numPr>
          <w:ilvl w:val="0"/>
          <w:numId w:val="31"/>
        </w:numPr>
        <w:autoSpaceDE w:val="0"/>
        <w:autoSpaceDN w:val="0"/>
        <w:adjustRightInd w:val="0"/>
        <w:spacing w:after="0" w:line="240" w:lineRule="auto"/>
        <w:rPr>
          <w:rFonts w:ascii="Arial" w:hAnsi="Arial" w:cs="Arial"/>
          <w:color w:val="000000"/>
        </w:rPr>
      </w:pPr>
      <w:r w:rsidRPr="006A3B6C">
        <w:rPr>
          <w:rFonts w:ascii="Arial" w:hAnsi="Arial" w:cs="Arial"/>
          <w:color w:val="000000"/>
        </w:rPr>
        <w:t>Acoperire/disponibilitate în bandă largă NGA</w:t>
      </w:r>
    </w:p>
    <w:p w:rsidR="006A3B6C" w:rsidRPr="006A3B6C" w:rsidRDefault="006A3B6C" w:rsidP="006A3B6C">
      <w:pPr>
        <w:pStyle w:val="ListParagraph"/>
        <w:numPr>
          <w:ilvl w:val="0"/>
          <w:numId w:val="31"/>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locuitori care utilizează sistemele e-guvernare</w:t>
      </w:r>
    </w:p>
    <w:p w:rsidR="006A3B6C" w:rsidRPr="006A3B6C" w:rsidRDefault="006A3B6C" w:rsidP="006A3B6C">
      <w:pPr>
        <w:pStyle w:val="ListParagraph"/>
        <w:numPr>
          <w:ilvl w:val="0"/>
          <w:numId w:val="31"/>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școli care utilizează OER, WEB 2.0 în educație</w:t>
      </w:r>
    </w:p>
    <w:p w:rsidR="006A3B6C" w:rsidRPr="006A3B6C" w:rsidRDefault="006A3B6C" w:rsidP="006A3B6C">
      <w:pPr>
        <w:pStyle w:val="ListParagraph"/>
        <w:numPr>
          <w:ilvl w:val="0"/>
          <w:numId w:val="31"/>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unități prespitalicești și spitalicești care utilizează sisteme de telemedicină</w:t>
      </w:r>
    </w:p>
    <w:p w:rsidR="006A3B6C" w:rsidRDefault="006A3B6C" w:rsidP="006A3B6C">
      <w:pPr>
        <w:pStyle w:val="ListParagraph"/>
        <w:numPr>
          <w:ilvl w:val="0"/>
          <w:numId w:val="31"/>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puncte de acces public la informații (PAPI) nou înființate</w:t>
      </w:r>
    </w:p>
    <w:p w:rsidR="0005576D" w:rsidRPr="006A3B6C" w:rsidRDefault="0005576D" w:rsidP="0005576D">
      <w:pPr>
        <w:pStyle w:val="ListParagraph"/>
        <w:autoSpaceDE w:val="0"/>
        <w:autoSpaceDN w:val="0"/>
        <w:adjustRightInd w:val="0"/>
        <w:spacing w:after="0" w:line="240" w:lineRule="auto"/>
        <w:ind w:left="1068"/>
        <w:rPr>
          <w:rFonts w:ascii="Arial" w:hAnsi="Arial" w:cs="Arial"/>
          <w:color w:val="000000"/>
        </w:rPr>
      </w:pPr>
    </w:p>
    <w:p w:rsidR="006A3B6C" w:rsidRDefault="006A3B6C" w:rsidP="006A3B6C">
      <w:pPr>
        <w:autoSpaceDE w:val="0"/>
        <w:autoSpaceDN w:val="0"/>
        <w:adjustRightInd w:val="0"/>
        <w:spacing w:after="0" w:line="240" w:lineRule="auto"/>
        <w:rPr>
          <w:rFonts w:ascii="Arial" w:hAnsi="Arial" w:cs="Arial"/>
          <w:b/>
          <w:bCs/>
          <w:color w:val="215868"/>
        </w:rPr>
      </w:pPr>
      <w:r w:rsidRPr="006A3B6C">
        <w:rPr>
          <w:rFonts w:ascii="Arial" w:hAnsi="Arial" w:cs="Arial"/>
          <w:b/>
          <w:bCs/>
          <w:color w:val="215868"/>
        </w:rPr>
        <w:lastRenderedPageBreak/>
        <w:t>Pilonul IV: Asigurarea serviciilor publice</w:t>
      </w:r>
    </w:p>
    <w:p w:rsidR="00881694" w:rsidRPr="006A3B6C" w:rsidRDefault="00881694" w:rsidP="006A3B6C">
      <w:pPr>
        <w:autoSpaceDE w:val="0"/>
        <w:autoSpaceDN w:val="0"/>
        <w:adjustRightInd w:val="0"/>
        <w:spacing w:after="0" w:line="240" w:lineRule="auto"/>
        <w:rPr>
          <w:rFonts w:ascii="Arial" w:hAnsi="Arial" w:cs="Arial"/>
          <w:b/>
          <w:bCs/>
          <w:color w:val="215868"/>
        </w:rPr>
      </w:pPr>
    </w:p>
    <w:p w:rsidR="006A3B6C" w:rsidRPr="006A3B6C" w:rsidRDefault="006A3B6C" w:rsidP="006A3B6C">
      <w:pPr>
        <w:pStyle w:val="ListParagraph"/>
        <w:numPr>
          <w:ilvl w:val="0"/>
          <w:numId w:val="32"/>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Alimentare cu apă și canalizare/ managementul integrat al apei</w:t>
      </w:r>
    </w:p>
    <w:p w:rsidR="006A3B6C" w:rsidRPr="006A3B6C" w:rsidRDefault="006A3B6C" w:rsidP="006A3B6C">
      <w:pPr>
        <w:pStyle w:val="ListParagraph"/>
        <w:numPr>
          <w:ilvl w:val="0"/>
          <w:numId w:val="33"/>
        </w:numPr>
        <w:autoSpaceDE w:val="0"/>
        <w:autoSpaceDN w:val="0"/>
        <w:adjustRightInd w:val="0"/>
        <w:spacing w:after="0" w:line="240" w:lineRule="auto"/>
        <w:rPr>
          <w:rFonts w:ascii="Arial" w:hAnsi="Arial" w:cs="Arial"/>
          <w:color w:val="000000"/>
        </w:rPr>
      </w:pPr>
      <w:r w:rsidRPr="006A3B6C">
        <w:rPr>
          <w:rFonts w:ascii="Arial" w:hAnsi="Arial" w:cs="Arial"/>
          <w:color w:val="000000"/>
        </w:rPr>
        <w:t>Ponderea populației racordate la rețelele centralizate de alimentare cu apă (%)</w:t>
      </w:r>
    </w:p>
    <w:p w:rsidR="006A3B6C" w:rsidRPr="006A3B6C" w:rsidRDefault="006A3B6C" w:rsidP="006A3B6C">
      <w:pPr>
        <w:pStyle w:val="ListParagraph"/>
        <w:numPr>
          <w:ilvl w:val="0"/>
          <w:numId w:val="33"/>
        </w:numPr>
        <w:autoSpaceDE w:val="0"/>
        <w:autoSpaceDN w:val="0"/>
        <w:adjustRightInd w:val="0"/>
        <w:spacing w:after="0" w:line="240" w:lineRule="auto"/>
        <w:rPr>
          <w:rFonts w:ascii="Arial" w:hAnsi="Arial" w:cs="Arial"/>
          <w:color w:val="000000"/>
        </w:rPr>
      </w:pPr>
      <w:r w:rsidRPr="006A3B6C">
        <w:rPr>
          <w:rFonts w:ascii="Arial" w:hAnsi="Arial" w:cs="Arial"/>
          <w:color w:val="000000"/>
        </w:rPr>
        <w:t>Ponderea populației racordate la rețelele _____centralizate de canalizare (%)</w:t>
      </w:r>
    </w:p>
    <w:p w:rsidR="006A3B6C" w:rsidRDefault="006A3B6C" w:rsidP="006A3B6C">
      <w:pPr>
        <w:pStyle w:val="ListParagraph"/>
        <w:numPr>
          <w:ilvl w:val="0"/>
          <w:numId w:val="33"/>
        </w:numPr>
        <w:autoSpaceDE w:val="0"/>
        <w:autoSpaceDN w:val="0"/>
        <w:adjustRightInd w:val="0"/>
        <w:spacing w:after="0" w:line="240" w:lineRule="auto"/>
        <w:rPr>
          <w:rFonts w:ascii="Arial" w:hAnsi="Arial" w:cs="Arial"/>
          <w:color w:val="000000"/>
        </w:rPr>
      </w:pPr>
      <w:r w:rsidRPr="006A3B6C">
        <w:rPr>
          <w:rFonts w:ascii="Arial" w:hAnsi="Arial" w:cs="Arial"/>
          <w:color w:val="000000"/>
        </w:rPr>
        <w:t>Ponderea apelor uzate tratate conform cu standardele cerute (%)</w:t>
      </w:r>
    </w:p>
    <w:p w:rsidR="003224F4" w:rsidRPr="006A3B6C" w:rsidRDefault="003224F4" w:rsidP="003224F4">
      <w:pPr>
        <w:pStyle w:val="ListParagraph"/>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ph"/>
        <w:numPr>
          <w:ilvl w:val="0"/>
          <w:numId w:val="32"/>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Managementul deșeurilor</w:t>
      </w:r>
    </w:p>
    <w:p w:rsidR="006A3B6C" w:rsidRPr="006A3B6C" w:rsidRDefault="006A3B6C" w:rsidP="006A3B6C">
      <w:pPr>
        <w:pStyle w:val="ListParagraph"/>
        <w:numPr>
          <w:ilvl w:val="0"/>
          <w:numId w:val="34"/>
        </w:numPr>
        <w:autoSpaceDE w:val="0"/>
        <w:autoSpaceDN w:val="0"/>
        <w:adjustRightInd w:val="0"/>
        <w:spacing w:after="0" w:line="240" w:lineRule="auto"/>
        <w:rPr>
          <w:rFonts w:ascii="Arial" w:hAnsi="Arial" w:cs="Arial"/>
          <w:color w:val="000000"/>
        </w:rPr>
      </w:pPr>
      <w:r w:rsidRPr="006A3B6C">
        <w:rPr>
          <w:rFonts w:ascii="Arial" w:hAnsi="Arial" w:cs="Arial"/>
          <w:color w:val="000000"/>
        </w:rPr>
        <w:t>Cantitatea totală de deșeuri menajere colectată și transportată (tone/an)</w:t>
      </w:r>
    </w:p>
    <w:p w:rsidR="006A3B6C" w:rsidRPr="006A3B6C" w:rsidRDefault="006A3B6C" w:rsidP="006A3B6C">
      <w:pPr>
        <w:pStyle w:val="ListParagraph"/>
        <w:numPr>
          <w:ilvl w:val="0"/>
          <w:numId w:val="34"/>
        </w:numPr>
        <w:autoSpaceDE w:val="0"/>
        <w:autoSpaceDN w:val="0"/>
        <w:adjustRightInd w:val="0"/>
        <w:spacing w:after="0" w:line="240" w:lineRule="auto"/>
        <w:rPr>
          <w:rFonts w:ascii="Arial" w:hAnsi="Arial" w:cs="Arial"/>
          <w:color w:val="000000"/>
        </w:rPr>
      </w:pPr>
      <w:r w:rsidRPr="006A3B6C">
        <w:rPr>
          <w:rFonts w:ascii="Arial" w:hAnsi="Arial" w:cs="Arial"/>
          <w:color w:val="000000"/>
        </w:rPr>
        <w:t>Rata globală de reciclare a deșeurilor menajere (%)</w:t>
      </w:r>
    </w:p>
    <w:p w:rsidR="006A3B6C" w:rsidRPr="006A3B6C" w:rsidRDefault="006A3B6C" w:rsidP="006A3B6C">
      <w:pPr>
        <w:pStyle w:val="ListParagraph"/>
        <w:numPr>
          <w:ilvl w:val="0"/>
          <w:numId w:val="34"/>
        </w:numPr>
        <w:autoSpaceDE w:val="0"/>
        <w:autoSpaceDN w:val="0"/>
        <w:adjustRightInd w:val="0"/>
        <w:spacing w:after="0" w:line="240" w:lineRule="auto"/>
        <w:rPr>
          <w:rFonts w:ascii="Arial" w:hAnsi="Arial" w:cs="Arial"/>
          <w:color w:val="000000"/>
        </w:rPr>
      </w:pPr>
      <w:r w:rsidRPr="006A3B6C">
        <w:rPr>
          <w:rFonts w:ascii="Arial" w:hAnsi="Arial" w:cs="Arial"/>
          <w:color w:val="000000"/>
        </w:rPr>
        <w:t>Capacitate suplimentară de recuperare a deșeurilor (exclusiv reciclare)</w:t>
      </w:r>
    </w:p>
    <w:p w:rsidR="006A3B6C" w:rsidRPr="006A3B6C" w:rsidRDefault="006A3B6C" w:rsidP="006A3B6C">
      <w:pPr>
        <w:pStyle w:val="ListParagraph"/>
        <w:numPr>
          <w:ilvl w:val="0"/>
          <w:numId w:val="34"/>
        </w:numPr>
        <w:autoSpaceDE w:val="0"/>
        <w:autoSpaceDN w:val="0"/>
        <w:adjustRightInd w:val="0"/>
        <w:spacing w:after="0" w:line="240" w:lineRule="auto"/>
        <w:rPr>
          <w:rFonts w:ascii="Arial" w:hAnsi="Arial" w:cs="Arial"/>
          <w:color w:val="000000"/>
        </w:rPr>
      </w:pPr>
      <w:r w:rsidRPr="006A3B6C">
        <w:rPr>
          <w:rFonts w:ascii="Arial" w:hAnsi="Arial" w:cs="Arial"/>
          <w:color w:val="000000"/>
        </w:rPr>
        <w:t>Cantitatea de deșeuri biodegradabile depozitată</w:t>
      </w:r>
    </w:p>
    <w:p w:rsidR="006A3B6C" w:rsidRPr="006A3B6C" w:rsidRDefault="006A3B6C" w:rsidP="006A3B6C">
      <w:pPr>
        <w:pStyle w:val="ListParagraph"/>
        <w:numPr>
          <w:ilvl w:val="0"/>
          <w:numId w:val="34"/>
        </w:numPr>
        <w:autoSpaceDE w:val="0"/>
        <w:autoSpaceDN w:val="0"/>
        <w:adjustRightInd w:val="0"/>
        <w:spacing w:after="0" w:line="240" w:lineRule="auto"/>
        <w:rPr>
          <w:rFonts w:ascii="Arial" w:hAnsi="Arial" w:cs="Arial"/>
          <w:color w:val="000000"/>
        </w:rPr>
      </w:pPr>
      <w:r w:rsidRPr="006A3B6C">
        <w:rPr>
          <w:rFonts w:ascii="Arial" w:hAnsi="Arial" w:cs="Arial"/>
          <w:color w:val="000000"/>
        </w:rPr>
        <w:t>Cantitatea totală de deșeuri menajere colectate separat (de exemplu hârtie și carton, mase plastice, sticlă, metale, lemn) (tone/an)</w:t>
      </w:r>
    </w:p>
    <w:p w:rsidR="006A3B6C" w:rsidRDefault="006A3B6C" w:rsidP="006A3B6C">
      <w:pPr>
        <w:pStyle w:val="ListParagraph"/>
        <w:numPr>
          <w:ilvl w:val="0"/>
          <w:numId w:val="34"/>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locuitori și vizitatori care participă la activitățile educative legate de gestionarea deșeurilor (număr de persoane)</w:t>
      </w:r>
    </w:p>
    <w:p w:rsidR="003224F4" w:rsidRPr="006A3B6C" w:rsidRDefault="003224F4" w:rsidP="003224F4">
      <w:pPr>
        <w:pStyle w:val="ListParagraph"/>
        <w:autoSpaceDE w:val="0"/>
        <w:autoSpaceDN w:val="0"/>
        <w:adjustRightInd w:val="0"/>
        <w:spacing w:after="0" w:line="240" w:lineRule="auto"/>
        <w:ind w:left="1068"/>
        <w:rPr>
          <w:rFonts w:ascii="Arial" w:hAnsi="Arial" w:cs="Arial"/>
          <w:color w:val="000000"/>
        </w:rPr>
      </w:pPr>
    </w:p>
    <w:p w:rsidR="006A3B6C" w:rsidRPr="006A3B6C" w:rsidRDefault="006A3B6C" w:rsidP="006A3B6C">
      <w:pPr>
        <w:numPr>
          <w:ilvl w:val="0"/>
          <w:numId w:val="32"/>
        </w:numPr>
        <w:autoSpaceDE w:val="0"/>
        <w:autoSpaceDN w:val="0"/>
        <w:adjustRightInd w:val="0"/>
        <w:spacing w:after="0" w:line="240" w:lineRule="auto"/>
        <w:contextualSpacing/>
        <w:rPr>
          <w:rFonts w:ascii="Arial" w:hAnsi="Arial" w:cs="Arial"/>
          <w:b/>
          <w:bCs/>
          <w:color w:val="000000"/>
        </w:rPr>
      </w:pPr>
      <w:r w:rsidRPr="006A3B6C">
        <w:rPr>
          <w:rFonts w:ascii="Arial" w:hAnsi="Arial" w:cs="Arial"/>
          <w:b/>
          <w:bCs/>
          <w:color w:val="000000"/>
        </w:rPr>
        <w:t>Sănătate</w:t>
      </w:r>
    </w:p>
    <w:p w:rsidR="006A3B6C" w:rsidRPr="006A3B6C" w:rsidRDefault="006A3B6C" w:rsidP="006A3B6C">
      <w:pPr>
        <w:numPr>
          <w:ilvl w:val="0"/>
          <w:numId w:val="35"/>
        </w:numPr>
        <w:autoSpaceDE w:val="0"/>
        <w:autoSpaceDN w:val="0"/>
        <w:adjustRightInd w:val="0"/>
        <w:spacing w:after="0" w:line="240" w:lineRule="auto"/>
        <w:contextualSpacing/>
        <w:rPr>
          <w:rFonts w:ascii="Arial" w:hAnsi="Arial" w:cs="Arial"/>
          <w:color w:val="000000"/>
        </w:rPr>
      </w:pPr>
      <w:r w:rsidRPr="006A3B6C">
        <w:rPr>
          <w:rFonts w:ascii="Arial" w:hAnsi="Arial" w:cs="Arial"/>
          <w:color w:val="000000"/>
        </w:rPr>
        <w:t>Număr de persoane care au beneficiat de consultații privind asistenta medicala primara în ultimul an</w:t>
      </w:r>
    </w:p>
    <w:p w:rsidR="006A3B6C" w:rsidRPr="006A3B6C" w:rsidRDefault="006A3B6C" w:rsidP="006A3B6C">
      <w:pPr>
        <w:numPr>
          <w:ilvl w:val="0"/>
          <w:numId w:val="35"/>
        </w:numPr>
        <w:autoSpaceDE w:val="0"/>
        <w:autoSpaceDN w:val="0"/>
        <w:adjustRightInd w:val="0"/>
        <w:spacing w:after="0" w:line="240" w:lineRule="auto"/>
        <w:contextualSpacing/>
        <w:rPr>
          <w:rFonts w:ascii="Arial" w:hAnsi="Arial" w:cs="Arial"/>
          <w:color w:val="000000"/>
        </w:rPr>
      </w:pPr>
      <w:r w:rsidRPr="006A3B6C">
        <w:rPr>
          <w:rFonts w:ascii="Arial" w:hAnsi="Arial" w:cs="Arial"/>
          <w:color w:val="000000"/>
        </w:rPr>
        <w:t>Grad de acoperire prin vaccinare a populației / copiilor</w:t>
      </w:r>
    </w:p>
    <w:p w:rsidR="006A3B6C" w:rsidRPr="006A3B6C" w:rsidRDefault="006A3B6C" w:rsidP="006A3B6C">
      <w:pPr>
        <w:numPr>
          <w:ilvl w:val="0"/>
          <w:numId w:val="35"/>
        </w:numPr>
        <w:autoSpaceDE w:val="0"/>
        <w:autoSpaceDN w:val="0"/>
        <w:adjustRightInd w:val="0"/>
        <w:spacing w:after="0" w:line="240" w:lineRule="auto"/>
        <w:contextualSpacing/>
        <w:rPr>
          <w:rFonts w:ascii="Arial" w:hAnsi="Arial" w:cs="Arial"/>
          <w:color w:val="000000"/>
        </w:rPr>
      </w:pPr>
      <w:r w:rsidRPr="006A3B6C">
        <w:rPr>
          <w:rFonts w:ascii="Arial" w:hAnsi="Arial" w:cs="Arial"/>
          <w:color w:val="000000"/>
        </w:rPr>
        <w:t>Număr de centre integrate de asistență socio-medicală primară construite / reconstruite</w:t>
      </w:r>
    </w:p>
    <w:p w:rsidR="006A3B6C" w:rsidRDefault="006A3B6C" w:rsidP="006A3B6C">
      <w:pPr>
        <w:numPr>
          <w:ilvl w:val="0"/>
          <w:numId w:val="35"/>
        </w:numPr>
        <w:autoSpaceDE w:val="0"/>
        <w:autoSpaceDN w:val="0"/>
        <w:adjustRightInd w:val="0"/>
        <w:spacing w:after="0" w:line="240" w:lineRule="auto"/>
        <w:contextualSpacing/>
        <w:rPr>
          <w:rFonts w:ascii="Arial" w:hAnsi="Arial" w:cs="Arial"/>
          <w:color w:val="000000"/>
        </w:rPr>
      </w:pPr>
      <w:r w:rsidRPr="006A3B6C">
        <w:rPr>
          <w:rFonts w:ascii="Arial" w:hAnsi="Arial" w:cs="Arial"/>
          <w:color w:val="000000"/>
        </w:rPr>
        <w:t>Număr de unități de primire medicale reabilitate</w:t>
      </w:r>
    </w:p>
    <w:p w:rsidR="003224F4" w:rsidRPr="006A3B6C" w:rsidRDefault="003224F4" w:rsidP="003224F4">
      <w:pPr>
        <w:autoSpaceDE w:val="0"/>
        <w:autoSpaceDN w:val="0"/>
        <w:adjustRightInd w:val="0"/>
        <w:spacing w:after="0" w:line="240" w:lineRule="auto"/>
        <w:ind w:left="1068"/>
        <w:contextualSpacing/>
        <w:rPr>
          <w:rFonts w:ascii="Arial" w:hAnsi="Arial" w:cs="Arial"/>
          <w:color w:val="000000"/>
        </w:rPr>
      </w:pPr>
    </w:p>
    <w:p w:rsidR="006A3B6C" w:rsidRPr="006A3B6C" w:rsidRDefault="006A3B6C" w:rsidP="006A3B6C">
      <w:pPr>
        <w:pStyle w:val="ListParagraph"/>
        <w:numPr>
          <w:ilvl w:val="0"/>
          <w:numId w:val="32"/>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Educație</w:t>
      </w:r>
    </w:p>
    <w:p w:rsidR="006A3B6C" w:rsidRPr="006A3B6C" w:rsidRDefault="006A3B6C" w:rsidP="006A3B6C">
      <w:pPr>
        <w:pStyle w:val="ListParagraph"/>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Rata de cuprindere în învățământul ante-preșcolar / preșcolar / primar / gimnazial / secundar superior, din care: de etnie romă / din mediul rural (%)</w:t>
      </w:r>
    </w:p>
    <w:p w:rsidR="006A3B6C" w:rsidRPr="006A3B6C" w:rsidRDefault="006A3B6C" w:rsidP="006A3B6C">
      <w:pPr>
        <w:pStyle w:val="ListParagraph"/>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Rata de abandon școlar (%)</w:t>
      </w:r>
    </w:p>
    <w:p w:rsidR="006A3B6C" w:rsidRPr="006A3B6C" w:rsidRDefault="006A3B6C" w:rsidP="006A3B6C">
      <w:pPr>
        <w:pStyle w:val="ListParagraph"/>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persoane (elevi / ucenici), din care de etnie romă / care beneficiază de sprijin pentru participarea la programe de educație / FP, din care: elevi /ucenici</w:t>
      </w:r>
    </w:p>
    <w:p w:rsidR="006A3B6C" w:rsidRPr="006A3B6C" w:rsidRDefault="006A3B6C" w:rsidP="006A3B6C">
      <w:pPr>
        <w:pStyle w:val="ListParagraph"/>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angajați care beneficiază de sprijin pentru participarea la FPC (formare / validare de competențe), din care: persoane cu nivel scăzut de calificare / persoane din mediul rural / persoane cu vârsta peste 40 de ani</w:t>
      </w:r>
    </w:p>
    <w:p w:rsidR="006A3B6C" w:rsidRPr="006A3B6C" w:rsidRDefault="006A3B6C" w:rsidP="006A3B6C">
      <w:pPr>
        <w:pStyle w:val="ListParagraph"/>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persoane (cursanți, studenți) care beneficiază de sprijin pentru tranziția de la școală la viața activă, din care: de etnie romă / din mediul rural /netradițional / SEN</w:t>
      </w:r>
    </w:p>
    <w:p w:rsidR="006A3B6C" w:rsidRPr="006A3B6C" w:rsidRDefault="006A3B6C" w:rsidP="006A3B6C">
      <w:pPr>
        <w:pStyle w:val="ListParagraph"/>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copii / tineri / adulți care au obținut o calificare/ au finalizat programe de tip „a doua șansă”, urmare a sprijinului primit</w:t>
      </w:r>
    </w:p>
    <w:p w:rsidR="006A3B6C" w:rsidRPr="006A3B6C" w:rsidRDefault="006A3B6C" w:rsidP="006A3B6C">
      <w:pPr>
        <w:pStyle w:val="ListParagraph"/>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persoane care beneficiază prin proiecte de sprijin pentru formare /schimb de bune practici</w:t>
      </w:r>
    </w:p>
    <w:p w:rsidR="006A3B6C" w:rsidRDefault="006A3B6C" w:rsidP="006A3B6C">
      <w:pPr>
        <w:pStyle w:val="ListParagraph"/>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tineri șomeri din categoria NEET, cu vârsta între 16 și 24 de ani, care beneficiază de măsuri de reîntoarcere prin programe de tip „a doua șansă”, din care: de etnie romă / grupuri vulnerabile/ minoritati etnice/ din zona rurală</w:t>
      </w:r>
    </w:p>
    <w:p w:rsidR="003224F4" w:rsidRPr="006A3B6C" w:rsidRDefault="003224F4" w:rsidP="003224F4">
      <w:pPr>
        <w:pStyle w:val="ListParagraph"/>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ph"/>
        <w:numPr>
          <w:ilvl w:val="0"/>
          <w:numId w:val="32"/>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Incluziune și protecție socială</w:t>
      </w:r>
    </w:p>
    <w:p w:rsidR="006A3B6C" w:rsidRPr="006A3B6C" w:rsidRDefault="006A3B6C" w:rsidP="006A3B6C">
      <w:pPr>
        <w:pStyle w:val="ListParagraph"/>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grădinițe și alte servicii educaționale pentru copiii sub 6 ani în comunități dezavantajate</w:t>
      </w:r>
    </w:p>
    <w:p w:rsidR="006A3B6C" w:rsidRPr="006A3B6C" w:rsidRDefault="006A3B6C" w:rsidP="006A3B6C">
      <w:pPr>
        <w:pStyle w:val="ListParagraph"/>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copii integrați în crese /grădinițe în comunitățile dezavantajate</w:t>
      </w:r>
    </w:p>
    <w:p w:rsidR="006A3B6C" w:rsidRPr="006A3B6C" w:rsidRDefault="006A3B6C" w:rsidP="006A3B6C">
      <w:pPr>
        <w:pStyle w:val="ListParagraph"/>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Rata anuală de copii integrați în clasa pregătitoare și care au participat la educația preșcolară</w:t>
      </w:r>
    </w:p>
    <w:p w:rsidR="006A3B6C" w:rsidRPr="006A3B6C" w:rsidRDefault="006A3B6C" w:rsidP="006A3B6C">
      <w:pPr>
        <w:pStyle w:val="ListParagraph"/>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elevi cu risc de abandon școlar la începutul și la sfârșitul anului școlar în școlile cu un număr ridicat de romi</w:t>
      </w:r>
    </w:p>
    <w:p w:rsidR="006A3B6C" w:rsidRPr="006A3B6C" w:rsidRDefault="006A3B6C" w:rsidP="006A3B6C">
      <w:pPr>
        <w:pStyle w:val="ListParagraph"/>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Rata anuală a participării în școlile cu un număr ridicat de romi</w:t>
      </w:r>
    </w:p>
    <w:p w:rsidR="006A3B6C" w:rsidRPr="006A3B6C" w:rsidRDefault="006A3B6C" w:rsidP="006A3B6C">
      <w:pPr>
        <w:pStyle w:val="ListParagraph"/>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copii implicați în diferite tipuri de măsuri educaționale complementare (post-școală, grădinițe de vară, tutorat școlar etc.)</w:t>
      </w:r>
    </w:p>
    <w:p w:rsidR="006A3B6C" w:rsidRPr="006A3B6C" w:rsidRDefault="006A3B6C" w:rsidP="006A3B6C">
      <w:pPr>
        <w:pStyle w:val="ListParagraph"/>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și tipuri de centre (școli, ONG-uri) care au implementat măsurile de educație complementară în funcție de regiuni, județe</w:t>
      </w:r>
    </w:p>
    <w:p w:rsidR="006A3B6C" w:rsidRPr="006A3B6C" w:rsidRDefault="006A3B6C" w:rsidP="006A3B6C">
      <w:pPr>
        <w:pStyle w:val="ListParagraph"/>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mediatori școlari la nivel național și în comunitățile cu o pondere ridicată de romi (peste 25 %)</w:t>
      </w:r>
    </w:p>
    <w:p w:rsidR="006A3B6C" w:rsidRPr="006A3B6C" w:rsidRDefault="006A3B6C" w:rsidP="006A3B6C">
      <w:pPr>
        <w:pStyle w:val="ListParagraph"/>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mediatori școlari angajați cu normă întreagă în sistemul școlar</w:t>
      </w:r>
    </w:p>
    <w:p w:rsidR="006A3B6C" w:rsidRPr="006A3B6C" w:rsidRDefault="006A3B6C" w:rsidP="006A3B6C">
      <w:pPr>
        <w:pStyle w:val="ListParagraph"/>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mediatori școlari instruiți prin programe specifice</w:t>
      </w:r>
    </w:p>
    <w:p w:rsidR="006A3B6C" w:rsidRPr="006A3B6C" w:rsidRDefault="006A3B6C" w:rsidP="006A3B6C">
      <w:pPr>
        <w:pStyle w:val="ListParagraph"/>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absolvenți ai facultăților de filologie, limba romani, angajați în sistem</w:t>
      </w:r>
    </w:p>
    <w:p w:rsidR="006A3B6C" w:rsidRPr="006A3B6C" w:rsidRDefault="006A3B6C" w:rsidP="006A3B6C">
      <w:pPr>
        <w:pStyle w:val="ListParagraph"/>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lastRenderedPageBreak/>
        <w:t>Număr de persoane care au beneficiat de drept de proprietate regularizate</w:t>
      </w:r>
    </w:p>
    <w:p w:rsidR="003F58DA" w:rsidRDefault="003F58DA" w:rsidP="006A3B6C">
      <w:pPr>
        <w:autoSpaceDE w:val="0"/>
        <w:autoSpaceDN w:val="0"/>
        <w:adjustRightInd w:val="0"/>
        <w:spacing w:after="0" w:line="240" w:lineRule="auto"/>
        <w:rPr>
          <w:rFonts w:ascii="Arial" w:hAnsi="Arial" w:cs="Arial"/>
          <w:b/>
          <w:bCs/>
          <w:color w:val="215868"/>
        </w:rPr>
      </w:pPr>
    </w:p>
    <w:p w:rsidR="006A3B6C" w:rsidRPr="006A3B6C" w:rsidRDefault="006A3B6C" w:rsidP="006A3B6C">
      <w:pPr>
        <w:autoSpaceDE w:val="0"/>
        <w:autoSpaceDN w:val="0"/>
        <w:adjustRightInd w:val="0"/>
        <w:spacing w:after="0" w:line="240" w:lineRule="auto"/>
        <w:rPr>
          <w:rFonts w:ascii="Arial" w:hAnsi="Arial" w:cs="Arial"/>
          <w:b/>
          <w:bCs/>
          <w:color w:val="215868"/>
        </w:rPr>
      </w:pPr>
      <w:r w:rsidRPr="006A3B6C">
        <w:rPr>
          <w:rFonts w:ascii="Arial" w:hAnsi="Arial" w:cs="Arial"/>
          <w:b/>
          <w:bCs/>
          <w:color w:val="215868"/>
        </w:rPr>
        <w:t>Pilonul V: Promovarea eficienței, accesibilității și sustenabilității</w:t>
      </w:r>
    </w:p>
    <w:p w:rsidR="006A3B6C" w:rsidRPr="006A3B6C" w:rsidRDefault="006A3B6C" w:rsidP="006A3B6C">
      <w:pPr>
        <w:pStyle w:val="ListParagraph"/>
        <w:numPr>
          <w:ilvl w:val="0"/>
          <w:numId w:val="38"/>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Capacitatea administrativă și managementul de program</w:t>
      </w:r>
    </w:p>
    <w:p w:rsidR="006A3B6C" w:rsidRPr="006A3B6C" w:rsidRDefault="006A3B6C" w:rsidP="006A3B6C">
      <w:pPr>
        <w:pStyle w:val="ListParagraph"/>
        <w:numPr>
          <w:ilvl w:val="0"/>
          <w:numId w:val="39"/>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entități interesate participante la luarea deciziilor și frecvența participării)</w:t>
      </w:r>
    </w:p>
    <w:p w:rsidR="006A3B6C" w:rsidRPr="006A3B6C" w:rsidRDefault="006A3B6C" w:rsidP="006A3B6C">
      <w:pPr>
        <w:pStyle w:val="ListParagraph"/>
        <w:numPr>
          <w:ilvl w:val="0"/>
          <w:numId w:val="39"/>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autorități și instituții publice care au implementat măsuri unitare pentru reducerea poverii administrative, pentru implementarea sistemelor de management a calității și performanței</w:t>
      </w:r>
    </w:p>
    <w:p w:rsidR="006A3B6C" w:rsidRPr="006A3B6C" w:rsidRDefault="006A3B6C" w:rsidP="006A3B6C">
      <w:pPr>
        <w:pStyle w:val="ListParagraph"/>
        <w:numPr>
          <w:ilvl w:val="0"/>
          <w:numId w:val="39"/>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acte normative revizuite care vizează îmbunătățirea cadrului legal și instituțional din Delta Dunării</w:t>
      </w:r>
    </w:p>
    <w:p w:rsidR="006A3B6C" w:rsidRPr="006A3B6C" w:rsidRDefault="006A3B6C" w:rsidP="006A3B6C">
      <w:pPr>
        <w:pStyle w:val="ListParagraph"/>
        <w:numPr>
          <w:ilvl w:val="0"/>
          <w:numId w:val="39"/>
        </w:numPr>
        <w:spacing w:after="160" w:line="256" w:lineRule="auto"/>
        <w:rPr>
          <w:rFonts w:ascii="Arial" w:hAnsi="Arial" w:cs="Arial"/>
        </w:rPr>
      </w:pPr>
      <w:r w:rsidRPr="006A3B6C">
        <w:rPr>
          <w:rFonts w:ascii="Arial" w:hAnsi="Arial" w:cs="Arial"/>
          <w:color w:val="000000"/>
        </w:rPr>
        <w:t>Număr de proiecte implementat în cadrul ITI Delta Dunării</w:t>
      </w:r>
    </w:p>
    <w:p w:rsidR="006A3B6C" w:rsidRPr="006A3B6C" w:rsidRDefault="006A3B6C" w:rsidP="006A3B6C">
      <w:pPr>
        <w:rPr>
          <w:rFonts w:ascii="Arial" w:hAnsi="Arial" w:cs="Arial"/>
        </w:rPr>
      </w:pPr>
    </w:p>
    <w:p w:rsidR="006A3B6C" w:rsidRPr="006A3B6C" w:rsidRDefault="006A3B6C" w:rsidP="006A3B6C">
      <w:pPr>
        <w:rPr>
          <w:rFonts w:ascii="Arial" w:hAnsi="Arial" w:cs="Arial"/>
        </w:rPr>
      </w:pPr>
    </w:p>
    <w:p w:rsidR="006A3B6C" w:rsidRPr="006A3B6C" w:rsidRDefault="006A3B6C" w:rsidP="006A3B6C">
      <w:pPr>
        <w:rPr>
          <w:rFonts w:ascii="Arial" w:hAnsi="Arial" w:cs="Arial"/>
        </w:rPr>
      </w:pPr>
    </w:p>
    <w:p w:rsidR="006A3B6C" w:rsidRPr="006A3B6C" w:rsidRDefault="006A3B6C" w:rsidP="00AC23A3">
      <w:pPr>
        <w:spacing w:after="120" w:line="240" w:lineRule="auto"/>
        <w:jc w:val="both"/>
        <w:rPr>
          <w:rFonts w:ascii="Arial" w:eastAsia="Times New Roman" w:hAnsi="Arial" w:cs="Arial"/>
          <w:b/>
        </w:rPr>
      </w:pPr>
    </w:p>
    <w:sectPr w:rsidR="006A3B6C" w:rsidRPr="006A3B6C" w:rsidSect="0005576D">
      <w:headerReference w:type="default" r:id="rId7"/>
      <w:headerReference w:type="first" r:id="rId8"/>
      <w:pgSz w:w="11907" w:h="16840" w:code="9"/>
      <w:pgMar w:top="426" w:right="567" w:bottom="284" w:left="156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4505" w:rsidRDefault="00804505" w:rsidP="00EA0A34">
      <w:pPr>
        <w:spacing w:after="0" w:line="240" w:lineRule="auto"/>
      </w:pPr>
      <w:r>
        <w:separator/>
      </w:r>
    </w:p>
  </w:endnote>
  <w:endnote w:type="continuationSeparator" w:id="0">
    <w:p w:rsidR="00804505" w:rsidRDefault="00804505" w:rsidP="00EA0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4505" w:rsidRDefault="00804505" w:rsidP="00EA0A34">
      <w:pPr>
        <w:spacing w:after="0" w:line="240" w:lineRule="auto"/>
      </w:pPr>
      <w:r>
        <w:separator/>
      </w:r>
    </w:p>
  </w:footnote>
  <w:footnote w:type="continuationSeparator" w:id="0">
    <w:p w:rsidR="00804505" w:rsidRDefault="00804505" w:rsidP="00EA0A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A34" w:rsidRDefault="00EA0A34">
    <w:pPr>
      <w:pStyle w:val="Header"/>
    </w:pPr>
    <w:r>
      <w:rPr>
        <w:noProof/>
        <w:lang w:val="en-US"/>
      </w:rPr>
      <mc:AlternateContent>
        <mc:Choice Requires="wps">
          <w:drawing>
            <wp:anchor distT="0" distB="0" distL="114300" distR="114300" simplePos="0" relativeHeight="251660288" behindDoc="0" locked="0" layoutInCell="1" allowOverlap="1" wp14:anchorId="328515B9" wp14:editId="369F2E94">
              <wp:simplePos x="0" y="0"/>
              <wp:positionH relativeFrom="column">
                <wp:posOffset>995045</wp:posOffset>
              </wp:positionH>
              <wp:positionV relativeFrom="paragraph">
                <wp:posOffset>-14922</wp:posOffset>
              </wp:positionV>
              <wp:extent cx="5334000" cy="680720"/>
              <wp:effectExtent l="0" t="0" r="0" b="5080"/>
              <wp:wrapNone/>
              <wp:docPr id="307"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0" cy="680720"/>
                      </a:xfrm>
                      <a:prstGeom prst="rect">
                        <a:avLst/>
                      </a:prstGeom>
                      <a:noFill/>
                      <a:ln w="9525">
                        <a:noFill/>
                        <a:miter lim="800000"/>
                        <a:headEnd/>
                        <a:tailEnd/>
                      </a:ln>
                    </wps:spPr>
                    <wps:txbx>
                      <w:txbxContent>
                        <w:p w:rsidR="00EA0A34" w:rsidRPr="00EA0A34" w:rsidRDefault="00EA0A34" w:rsidP="00EA0A34">
                          <w:pPr>
                            <w:spacing w:after="0" w:line="240" w:lineRule="auto"/>
                            <w:jc w:val="center"/>
                            <w:rPr>
                              <w:rFonts w:ascii="Arial" w:hAnsi="Arial" w:cs="Arial"/>
                              <w:color w:val="000099"/>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28515B9" id="_x0000_t202" coordsize="21600,21600" o:spt="202" path="m,l,21600r21600,l21600,xe">
              <v:stroke joinstyle="miter"/>
              <v:path gradientshapeok="t" o:connecttype="rect"/>
            </v:shapetype>
            <v:shape id="Casetă text 2" o:spid="_x0000_s1026" type="#_x0000_t202" style="position:absolute;margin-left:78.35pt;margin-top:-1.15pt;width:420pt;height:5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" filled="f" stroked="f">
              <v:textbox>
                <w:txbxContent>
                  <w:p w:rsidR="00EA0A34" w:rsidRPr="00EA0A34" w:rsidRDefault="00EA0A34" w:rsidP="00EA0A34">
                    <w:pPr>
                      <w:spacing w:after="0" w:line="240" w:lineRule="auto"/>
                      <w:jc w:val="center"/>
                      <w:rPr>
                        <w:rFonts w:ascii="Arial" w:hAnsi="Arial" w:cs="Arial"/>
                        <w:color w:val="000099"/>
                        <w:sz w:val="18"/>
                        <w:szCs w:val="18"/>
                      </w:rPr>
                    </w:pP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A34" w:rsidRDefault="00EA0A34" w:rsidP="00EA0A34">
    <w:pPr>
      <w:pStyle w:val="Header"/>
    </w:pPr>
    <w:r>
      <w:rPr>
        <w:noProof/>
        <w:lang w:val="en-US"/>
      </w:rPr>
      <mc:AlternateContent>
        <mc:Choice Requires="wps">
          <w:drawing>
            <wp:anchor distT="0" distB="0" distL="114300" distR="114300" simplePos="0" relativeHeight="251665408" behindDoc="0" locked="0" layoutInCell="1" allowOverlap="1" wp14:anchorId="13CAAB7A" wp14:editId="61211447">
              <wp:simplePos x="0" y="0"/>
              <wp:positionH relativeFrom="column">
                <wp:posOffset>995045</wp:posOffset>
              </wp:positionH>
              <wp:positionV relativeFrom="paragraph">
                <wp:posOffset>-14922</wp:posOffset>
              </wp:positionV>
              <wp:extent cx="5334634" cy="944244"/>
              <wp:effectExtent l="0" t="0" r="0" b="0"/>
              <wp:wrapNone/>
              <wp:docPr id="4"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634" cy="944244"/>
                      </a:xfrm>
                      <a:prstGeom prst="rect">
                        <a:avLst/>
                      </a:prstGeom>
                      <a:noFill/>
                      <a:ln w="9525">
                        <a:noFill/>
                        <a:miter lim="800000"/>
                        <a:headEnd/>
                        <a:tailEnd/>
                      </a:ln>
                    </wps:spPr>
                    <wps:txbx>
                      <w:txbxContent>
                        <w:p w:rsidR="00EA0A34" w:rsidRPr="00EA0A34" w:rsidRDefault="00EA0A34" w:rsidP="00EA0A34">
                          <w:pPr>
                            <w:spacing w:after="0" w:line="240" w:lineRule="auto"/>
                            <w:jc w:val="center"/>
                            <w:rPr>
                              <w:rFonts w:ascii="Arial" w:hAnsi="Arial" w:cs="Arial"/>
                              <w:b/>
                              <w:color w:val="000099"/>
                              <w:sz w:val="24"/>
                              <w14:shadow w14:blurRad="50800" w14:dist="38100" w14:dir="5400000" w14:sx="100000" w14:sy="100000" w14:kx="0" w14:ky="0" w14:algn="t">
                                <w14:srgbClr w14:val="000000">
                                  <w14:alpha w14:val="60000"/>
                                </w14:srgbClr>
                              </w14:shadow>
                            </w:rPr>
                          </w:pPr>
                          <w:r w:rsidRPr="00EA0A34">
                            <w:rPr>
                              <w:rFonts w:ascii="Arial" w:hAnsi="Arial" w:cs="Arial"/>
                              <w:b/>
                              <w:color w:val="000099"/>
                              <w:sz w:val="24"/>
                              <w14:shadow w14:blurRad="50800" w14:dist="38100" w14:dir="5400000" w14:sx="100000" w14:sy="100000" w14:kx="0" w14:ky="0" w14:algn="t">
                                <w14:srgbClr w14:val="000000">
                                  <w14:alpha w14:val="60000"/>
                                </w14:srgbClr>
                              </w14:shadow>
                            </w:rPr>
                            <w:t>ASOCIAŢIA PENTRU DEZVOLTARE INTERCOMUNITARĂ</w:t>
                          </w:r>
                        </w:p>
                        <w:p w:rsidR="00EA0A34" w:rsidRPr="00EA0A34" w:rsidRDefault="00EA0A34" w:rsidP="00EA0A34">
                          <w:pPr>
                            <w:spacing w:after="0" w:line="240" w:lineRule="auto"/>
                            <w:jc w:val="center"/>
                            <w:rPr>
                              <w:rFonts w:ascii="Arial" w:hAnsi="Arial" w:cs="Arial"/>
                              <w:b/>
                              <w:color w:val="000099"/>
                              <w:sz w:val="24"/>
                              <w14:shadow w14:blurRad="50800" w14:dist="38100" w14:dir="5400000" w14:sx="100000" w14:sy="100000" w14:kx="0" w14:ky="0" w14:algn="t">
                                <w14:srgbClr w14:val="000000">
                                  <w14:alpha w14:val="60000"/>
                                </w14:srgbClr>
                              </w14:shadow>
                            </w:rPr>
                          </w:pPr>
                          <w:r w:rsidRPr="00EA0A34">
                            <w:rPr>
                              <w:rFonts w:ascii="Arial" w:hAnsi="Arial" w:cs="Arial"/>
                              <w:b/>
                              <w:color w:val="000099"/>
                              <w:sz w:val="24"/>
                              <w14:shadow w14:blurRad="50800" w14:dist="38100" w14:dir="5400000" w14:sx="100000" w14:sy="100000" w14:kx="0" w14:ky="0" w14:algn="t">
                                <w14:srgbClr w14:val="000000">
                                  <w14:alpha w14:val="60000"/>
                                </w14:srgbClr>
                              </w14:shadow>
                            </w:rPr>
                            <w:t>ITI DELTA DUNĂRII</w:t>
                          </w:r>
                        </w:p>
                        <w:p w:rsidR="00EA0A34" w:rsidRPr="00EA0A34" w:rsidRDefault="00EA0A34" w:rsidP="00EA0A34">
                          <w:pPr>
                            <w:spacing w:after="0" w:line="240" w:lineRule="auto"/>
                            <w:jc w:val="center"/>
                            <w:rPr>
                              <w:rFonts w:ascii="Arial" w:hAnsi="Arial" w:cs="Arial"/>
                              <w:color w:val="000099"/>
                              <w:sz w:val="18"/>
                              <w:szCs w:val="18"/>
                            </w:rPr>
                          </w:pPr>
                          <w:r w:rsidRPr="00EA0A34">
                            <w:rPr>
                              <w:rFonts w:ascii="Arial" w:hAnsi="Arial" w:cs="Arial"/>
                              <w:color w:val="000099"/>
                              <w:sz w:val="18"/>
                              <w:szCs w:val="18"/>
                            </w:rPr>
                            <w:t>Tulcea, str. Păcii, nr. 20</w:t>
                          </w:r>
                          <w:r>
                            <w:rPr>
                              <w:rFonts w:ascii="Arial" w:hAnsi="Arial" w:cs="Arial"/>
                              <w:color w:val="000099"/>
                              <w:sz w:val="18"/>
                              <w:szCs w:val="18"/>
                            </w:rPr>
                            <w:t xml:space="preserve">  </w:t>
                          </w:r>
                          <w:hyperlink r:id="rId1" w:history="1">
                            <w:r w:rsidR="00B67975" w:rsidRPr="0076618E">
                              <w:rPr>
                                <w:rStyle w:val="Hyperlink"/>
                                <w:rFonts w:ascii="Arial" w:hAnsi="Arial" w:cs="Arial"/>
                                <w:sz w:val="18"/>
                                <w:szCs w:val="18"/>
                              </w:rPr>
                              <w:t>office@itideltadunarii.com</w:t>
                            </w:r>
                          </w:hyperlink>
                          <w:r w:rsidR="00B67975">
                            <w:rPr>
                              <w:rFonts w:ascii="Arial" w:hAnsi="Arial" w:cs="Arial"/>
                              <w:color w:val="000099"/>
                              <w:sz w:val="18"/>
                              <w:szCs w:val="18"/>
                            </w:rPr>
                            <w:t xml:space="preserve">  </w:t>
                          </w:r>
                          <w:hyperlink r:id="rId2" w:history="1">
                            <w:r w:rsidR="00B67975" w:rsidRPr="0076618E">
                              <w:rPr>
                                <w:rStyle w:val="Hyperlink"/>
                                <w:rFonts w:ascii="Arial" w:hAnsi="Arial" w:cs="Arial"/>
                                <w:sz w:val="18"/>
                                <w:szCs w:val="18"/>
                              </w:rPr>
                              <w:t>www.itideltadunarii.com</w:t>
                            </w:r>
                          </w:hyperlink>
                          <w:r w:rsidR="00B67975">
                            <w:rPr>
                              <w:rFonts w:ascii="Arial" w:hAnsi="Arial" w:cs="Arial"/>
                              <w:color w:val="000099"/>
                              <w:sz w:val="18"/>
                              <w:szCs w:val="1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CAAB7A" id="_x0000_t202" coordsize="21600,21600" o:spt="202" path="m,l,21600r21600,l21600,xe">
              <v:stroke joinstyle="miter"/>
              <v:path gradientshapeok="t" o:connecttype="rect"/>
            </v:shapetype>
            <v:shape id="_x0000_s1027" type="#_x0000_t202" style="position:absolute;margin-left:78.35pt;margin-top:-1.15pt;width:420.05pt;height:74.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" filled="f" stroked="f">
              <v:textbox>
                <w:txbxContent>
                  <w:p w:rsidR="00EA0A34" w:rsidRPr="00EA0A34" w:rsidRDefault="00EA0A34" w:rsidP="00EA0A34">
                    <w:pPr>
                      <w:spacing w:after="0" w:line="240" w:lineRule="auto"/>
                      <w:jc w:val="center"/>
                      <w:rPr>
                        <w:rFonts w:ascii="Arial" w:hAnsi="Arial" w:cs="Arial"/>
                        <w:b/>
                        <w:color w:val="000099"/>
                        <w:sz w:val="24"/>
                        <w14:shadow w14:blurRad="50800" w14:dist="38100" w14:dir="5400000" w14:sx="100000" w14:sy="100000" w14:kx="0" w14:ky="0" w14:algn="t">
                          <w14:srgbClr w14:val="000000">
                            <w14:alpha w14:val="60000"/>
                          </w14:srgbClr>
                        </w14:shadow>
                      </w:rPr>
                    </w:pPr>
                    <w:r w:rsidRPr="00EA0A34">
                      <w:rPr>
                        <w:rFonts w:ascii="Arial" w:hAnsi="Arial" w:cs="Arial"/>
                        <w:b/>
                        <w:color w:val="000099"/>
                        <w:sz w:val="24"/>
                        <w14:shadow w14:blurRad="50800" w14:dist="38100" w14:dir="5400000" w14:sx="100000" w14:sy="100000" w14:kx="0" w14:ky="0" w14:algn="t">
                          <w14:srgbClr w14:val="000000">
                            <w14:alpha w14:val="60000"/>
                          </w14:srgbClr>
                        </w14:shadow>
                      </w:rPr>
                      <w:t>ASOCIAŢIA PENTRU DEZVOLTARE INTERCOMUNITARĂ</w:t>
                    </w:r>
                  </w:p>
                  <w:p w:rsidR="00EA0A34" w:rsidRPr="00EA0A34" w:rsidRDefault="00EA0A34" w:rsidP="00EA0A34">
                    <w:pPr>
                      <w:spacing w:after="0" w:line="240" w:lineRule="auto"/>
                      <w:jc w:val="center"/>
                      <w:rPr>
                        <w:rFonts w:ascii="Arial" w:hAnsi="Arial" w:cs="Arial"/>
                        <w:b/>
                        <w:color w:val="000099"/>
                        <w:sz w:val="24"/>
                        <w14:shadow w14:blurRad="50800" w14:dist="38100" w14:dir="5400000" w14:sx="100000" w14:sy="100000" w14:kx="0" w14:ky="0" w14:algn="t">
                          <w14:srgbClr w14:val="000000">
                            <w14:alpha w14:val="60000"/>
                          </w14:srgbClr>
                        </w14:shadow>
                      </w:rPr>
                    </w:pPr>
                    <w:r w:rsidRPr="00EA0A34">
                      <w:rPr>
                        <w:rFonts w:ascii="Arial" w:hAnsi="Arial" w:cs="Arial"/>
                        <w:b/>
                        <w:color w:val="000099"/>
                        <w:sz w:val="24"/>
                        <w14:shadow w14:blurRad="50800" w14:dist="38100" w14:dir="5400000" w14:sx="100000" w14:sy="100000" w14:kx="0" w14:ky="0" w14:algn="t">
                          <w14:srgbClr w14:val="000000">
                            <w14:alpha w14:val="60000"/>
                          </w14:srgbClr>
                        </w14:shadow>
                      </w:rPr>
                      <w:t>ITI DELTA DUNĂRII</w:t>
                    </w:r>
                  </w:p>
                  <w:p w:rsidR="00EA0A34" w:rsidRPr="00EA0A34" w:rsidRDefault="00EA0A34" w:rsidP="00EA0A34">
                    <w:pPr>
                      <w:spacing w:after="0" w:line="240" w:lineRule="auto"/>
                      <w:jc w:val="center"/>
                      <w:rPr>
                        <w:rFonts w:ascii="Arial" w:hAnsi="Arial" w:cs="Arial"/>
                        <w:color w:val="000099"/>
                        <w:sz w:val="18"/>
                        <w:szCs w:val="18"/>
                      </w:rPr>
                    </w:pPr>
                    <w:r w:rsidRPr="00EA0A34">
                      <w:rPr>
                        <w:rFonts w:ascii="Arial" w:hAnsi="Arial" w:cs="Arial"/>
                        <w:color w:val="000099"/>
                        <w:sz w:val="18"/>
                        <w:szCs w:val="18"/>
                      </w:rPr>
                      <w:t>Tulcea, str. Păcii, nr. 20</w:t>
                    </w:r>
                    <w:r>
                      <w:rPr>
                        <w:rFonts w:ascii="Arial" w:hAnsi="Arial" w:cs="Arial"/>
                        <w:color w:val="000099"/>
                        <w:sz w:val="18"/>
                        <w:szCs w:val="18"/>
                      </w:rPr>
                      <w:t xml:space="preserve">  </w:t>
                    </w:r>
                    <w:hyperlink r:id="rId3" w:history="1">
                      <w:r w:rsidR="00B67975" w:rsidRPr="0076618E">
                        <w:rPr>
                          <w:rStyle w:val="Hyperlink"/>
                          <w:rFonts w:ascii="Arial" w:hAnsi="Arial" w:cs="Arial"/>
                          <w:sz w:val="18"/>
                          <w:szCs w:val="18"/>
                        </w:rPr>
                        <w:t>office@itideltadunarii.com</w:t>
                      </w:r>
                    </w:hyperlink>
                    <w:r w:rsidR="00B67975">
                      <w:rPr>
                        <w:rFonts w:ascii="Arial" w:hAnsi="Arial" w:cs="Arial"/>
                        <w:color w:val="000099"/>
                        <w:sz w:val="18"/>
                        <w:szCs w:val="18"/>
                      </w:rPr>
                      <w:t xml:space="preserve">  </w:t>
                    </w:r>
                    <w:hyperlink r:id="rId4" w:history="1">
                      <w:r w:rsidR="00B67975" w:rsidRPr="0076618E">
                        <w:rPr>
                          <w:rStyle w:val="Hyperlink"/>
                          <w:rFonts w:ascii="Arial" w:hAnsi="Arial" w:cs="Arial"/>
                          <w:sz w:val="18"/>
                          <w:szCs w:val="18"/>
                        </w:rPr>
                        <w:t>www.itideltadunarii.com</w:t>
                      </w:r>
                    </w:hyperlink>
                    <w:r w:rsidR="00B67975">
                      <w:rPr>
                        <w:rFonts w:ascii="Arial" w:hAnsi="Arial" w:cs="Arial"/>
                        <w:color w:val="000099"/>
                        <w:sz w:val="18"/>
                        <w:szCs w:val="18"/>
                      </w:rPr>
                      <w:t xml:space="preserve"> </w:t>
                    </w:r>
                  </w:p>
                </w:txbxContent>
              </v:textbox>
            </v:shape>
          </w:pict>
        </mc:Fallback>
      </mc:AlternateContent>
    </w:r>
    <w:r>
      <w:rPr>
        <w:noProof/>
        <w:lang w:val="en-US"/>
      </w:rPr>
      <mc:AlternateContent>
        <mc:Choice Requires="wps">
          <w:drawing>
            <wp:anchor distT="0" distB="0" distL="114300" distR="114300" simplePos="0" relativeHeight="251662336" behindDoc="0" locked="0" layoutInCell="1" allowOverlap="1" wp14:anchorId="4D13C108" wp14:editId="09E13690">
              <wp:simplePos x="0" y="0"/>
              <wp:positionH relativeFrom="column">
                <wp:posOffset>-485140</wp:posOffset>
              </wp:positionH>
              <wp:positionV relativeFrom="paragraph">
                <wp:posOffset>611505</wp:posOffset>
              </wp:positionV>
              <wp:extent cx="6629400" cy="36000"/>
              <wp:effectExtent l="0" t="0" r="0" b="2540"/>
              <wp:wrapNone/>
              <wp:docPr id="5" name="Dreptunghi 5"/>
              <wp:cNvGraphicFramePr/>
              <a:graphic xmlns:a="http://schemas.openxmlformats.org/drawingml/2006/main">
                <a:graphicData uri="http://schemas.microsoft.com/office/word/2010/wordprocessingShape">
                  <wps:wsp>
                    <wps:cNvSpPr/>
                    <wps:spPr>
                      <a:xfrm>
                        <a:off x="0" y="0"/>
                        <a:ext cx="6629400" cy="36000"/>
                      </a:xfrm>
                      <a:prstGeom prst="rect">
                        <a:avLst/>
                      </a:prstGeom>
                      <a:solidFill>
                        <a:srgbClr val="00009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36BE7B2" id="Dreptunghi 5" o:spid="_x0000_s1026" style="position:absolute;margin-left:-38.2pt;margin-top:48.15pt;width:522pt;height:2.8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" fillcolor="#009" stroked="f" strokeweight="2pt"/>
          </w:pict>
        </mc:Fallback>
      </mc:AlternateContent>
    </w:r>
    <w:r>
      <w:rPr>
        <w:noProof/>
        <w:lang w:val="en-US"/>
      </w:rPr>
      <w:drawing>
        <wp:anchor distT="0" distB="0" distL="114300" distR="114300" simplePos="0" relativeHeight="251664384" behindDoc="0" locked="0" layoutInCell="1" allowOverlap="1" wp14:anchorId="1FF6DFF2" wp14:editId="5CFA1224">
          <wp:simplePos x="0" y="0"/>
          <wp:positionH relativeFrom="column">
            <wp:posOffset>-314325</wp:posOffset>
          </wp:positionH>
          <wp:positionV relativeFrom="paragraph">
            <wp:posOffset>-207645</wp:posOffset>
          </wp:positionV>
          <wp:extent cx="1069340" cy="709295"/>
          <wp:effectExtent l="0" t="0" r="0" b="0"/>
          <wp:wrapNone/>
          <wp:docPr id="13"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lican bleumarin.png"/>
                  <pic:cNvPicPr/>
                </pic:nvPicPr>
                <pic:blipFill>
                  <a:blip r:embed="rId5">
                    <a:extLst>
                      <a:ext uri="{28A0092B-C50C-407E-A947-70E740481C1C}">
                        <a14:useLocalDpi xmlns:a14="http://schemas.microsoft.com/office/drawing/2010/main" val="0"/>
                      </a:ext>
                    </a:extLst>
                  </a:blip>
                  <a:stretch>
                    <a:fillRect/>
                  </a:stretch>
                </pic:blipFill>
                <pic:spPr>
                  <a:xfrm>
                    <a:off x="0" y="0"/>
                    <a:ext cx="1069340" cy="709295"/>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3360" behindDoc="0" locked="0" layoutInCell="1" allowOverlap="1" wp14:anchorId="0096D702" wp14:editId="35C318BB">
          <wp:simplePos x="0" y="0"/>
          <wp:positionH relativeFrom="column">
            <wp:posOffset>37465</wp:posOffset>
          </wp:positionH>
          <wp:positionV relativeFrom="paragraph">
            <wp:posOffset>-127000</wp:posOffset>
          </wp:positionV>
          <wp:extent cx="1252220" cy="1054100"/>
          <wp:effectExtent l="0" t="0" r="5080" b="0"/>
          <wp:wrapNone/>
          <wp:docPr id="14"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rta verde.jpg"/>
                  <pic:cNvPicPr/>
                </pic:nvPicPr>
                <pic:blipFill>
                  <a:blip r:embed="rId6" cstate="print">
                    <a:clrChange>
                      <a:clrFrom>
                        <a:srgbClr val="FDFDFD"/>
                      </a:clrFrom>
                      <a:clrTo>
                        <a:srgbClr val="FDFDFD">
                          <a:alpha val="0"/>
                        </a:srgbClr>
                      </a:clrTo>
                    </a:clrChange>
                    <a:extLst>
                      <a:ext uri="{28A0092B-C50C-407E-A947-70E740481C1C}">
                        <a14:useLocalDpi xmlns:a14="http://schemas.microsoft.com/office/drawing/2010/main" val="0"/>
                      </a:ext>
                    </a:extLst>
                  </a:blip>
                  <a:stretch>
                    <a:fillRect/>
                  </a:stretch>
                </pic:blipFill>
                <pic:spPr>
                  <a:xfrm>
                    <a:off x="0" y="0"/>
                    <a:ext cx="1252220" cy="1054100"/>
                  </a:xfrm>
                  <a:prstGeom prst="rect">
                    <a:avLst/>
                  </a:prstGeom>
                </pic:spPr>
              </pic:pic>
            </a:graphicData>
          </a:graphic>
          <wp14:sizeRelH relativeFrom="page">
            <wp14:pctWidth>0</wp14:pctWidth>
          </wp14:sizeRelH>
          <wp14:sizeRelV relativeFrom="page">
            <wp14:pctHeight>0</wp14:pctHeight>
          </wp14:sizeRelV>
        </wp:anchor>
      </w:drawing>
    </w:r>
  </w:p>
  <w:p w:rsidR="00EA0A34" w:rsidRDefault="00EA0A3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E299D"/>
    <w:multiLevelType w:val="hybridMultilevel"/>
    <w:tmpl w:val="345C33F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8B949ED"/>
    <w:multiLevelType w:val="hybridMultilevel"/>
    <w:tmpl w:val="B9185882"/>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08FE2BA3"/>
    <w:multiLevelType w:val="multilevel"/>
    <w:tmpl w:val="835E2C78"/>
    <w:lvl w:ilvl="0">
      <w:start w:val="1"/>
      <w:numFmt w:val="bullet"/>
      <w:lvlText w:val=""/>
      <w:lvlJc w:val="left"/>
      <w:pPr>
        <w:ind w:left="360" w:hanging="360"/>
      </w:pPr>
      <w:rPr>
        <w:rFonts w:ascii="Symbol" w:hAnsi="Symbol" w:hint="default"/>
      </w:rPr>
    </w:lvl>
    <w:lvl w:ilvl="1">
      <w:start w:val="1"/>
      <w:numFmt w:val="bullet"/>
      <w:lvlText w:val=""/>
      <w:lvlJc w:val="left"/>
      <w:pPr>
        <w:ind w:left="716" w:hanging="432"/>
      </w:pPr>
      <w:rPr>
        <w:rFonts w:ascii="Symbol" w:hAnsi="Symbol"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bullet"/>
      <w:lvlText w:val=""/>
      <w:lvlJc w:val="left"/>
      <w:pPr>
        <w:ind w:left="2354" w:hanging="936"/>
      </w:pPr>
      <w:rPr>
        <w:rFonts w:ascii="Symbol" w:hAnsi="Symbo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594A9E"/>
    <w:multiLevelType w:val="hybridMultilevel"/>
    <w:tmpl w:val="993AAF92"/>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4" w15:restartNumberingAfterBreak="0">
    <w:nsid w:val="0AF62CF8"/>
    <w:multiLevelType w:val="hybridMultilevel"/>
    <w:tmpl w:val="C2E2CA4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D744BB6"/>
    <w:multiLevelType w:val="hybridMultilevel"/>
    <w:tmpl w:val="6F127944"/>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6" w15:restartNumberingAfterBreak="0">
    <w:nsid w:val="0DA81B0A"/>
    <w:multiLevelType w:val="hybridMultilevel"/>
    <w:tmpl w:val="F30CDC14"/>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7" w15:restartNumberingAfterBreak="0">
    <w:nsid w:val="14EF5B2B"/>
    <w:multiLevelType w:val="hybridMultilevel"/>
    <w:tmpl w:val="07AE146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8AB7DC7"/>
    <w:multiLevelType w:val="hybridMultilevel"/>
    <w:tmpl w:val="13DE8560"/>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9" w15:restartNumberingAfterBreak="0">
    <w:nsid w:val="1C035D70"/>
    <w:multiLevelType w:val="hybridMultilevel"/>
    <w:tmpl w:val="41EA3D3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15:restartNumberingAfterBreak="0">
    <w:nsid w:val="1C396E9A"/>
    <w:multiLevelType w:val="hybridMultilevel"/>
    <w:tmpl w:val="4F0ABAB4"/>
    <w:lvl w:ilvl="0" w:tplc="A0267826">
      <w:start w:val="1"/>
      <w:numFmt w:val="bullet"/>
      <w:lvlText w:val=""/>
      <w:lvlJc w:val="left"/>
      <w:pPr>
        <w:tabs>
          <w:tab w:val="num" w:pos="1420"/>
        </w:tabs>
        <w:ind w:left="1420" w:hanging="340"/>
      </w:pPr>
      <w:rPr>
        <w:rFonts w:ascii="Symbol" w:hAnsi="Symbol" w:hint="default"/>
        <w:color w:val="auto"/>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22DB729C"/>
    <w:multiLevelType w:val="hybridMultilevel"/>
    <w:tmpl w:val="33FCBC18"/>
    <w:lvl w:ilvl="0" w:tplc="66E499CE">
      <w:start w:val="1"/>
      <w:numFmt w:val="bullet"/>
      <w:lvlText w:val=""/>
      <w:lvlJc w:val="left"/>
      <w:pPr>
        <w:tabs>
          <w:tab w:val="num" w:pos="435"/>
        </w:tabs>
        <w:ind w:left="435" w:hanging="360"/>
      </w:pPr>
      <w:rPr>
        <w:rFonts w:ascii="Symbol" w:hAnsi="Symbol" w:hint="default"/>
        <w:color w:val="auto"/>
        <w:sz w:val="20"/>
        <w:szCs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350612D"/>
    <w:multiLevelType w:val="hybridMultilevel"/>
    <w:tmpl w:val="39B2A954"/>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3" w15:restartNumberingAfterBreak="0">
    <w:nsid w:val="29515328"/>
    <w:multiLevelType w:val="hybridMultilevel"/>
    <w:tmpl w:val="DBBE9A48"/>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14" w15:restartNumberingAfterBreak="0">
    <w:nsid w:val="2AD27B45"/>
    <w:multiLevelType w:val="hybridMultilevel"/>
    <w:tmpl w:val="A10CC79A"/>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15" w15:restartNumberingAfterBreak="0">
    <w:nsid w:val="2B5F23BB"/>
    <w:multiLevelType w:val="hybridMultilevel"/>
    <w:tmpl w:val="EAA8D6F4"/>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16" w15:restartNumberingAfterBreak="0">
    <w:nsid w:val="2D7A5146"/>
    <w:multiLevelType w:val="hybridMultilevel"/>
    <w:tmpl w:val="809C6694"/>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17" w15:restartNumberingAfterBreak="0">
    <w:nsid w:val="331976F3"/>
    <w:multiLevelType w:val="hybridMultilevel"/>
    <w:tmpl w:val="41AA7FA2"/>
    <w:lvl w:ilvl="0" w:tplc="66E499CE">
      <w:start w:val="1"/>
      <w:numFmt w:val="bullet"/>
      <w:lvlText w:val=""/>
      <w:lvlJc w:val="left"/>
      <w:pPr>
        <w:tabs>
          <w:tab w:val="num" w:pos="435"/>
        </w:tabs>
        <w:ind w:left="435" w:hanging="360"/>
      </w:pPr>
      <w:rPr>
        <w:rFonts w:ascii="Symbol" w:hAnsi="Symbol" w:hint="default"/>
        <w:color w:val="auto"/>
        <w:sz w:val="20"/>
        <w:szCs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E90087"/>
    <w:multiLevelType w:val="hybridMultilevel"/>
    <w:tmpl w:val="CD4439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D841FA1"/>
    <w:multiLevelType w:val="hybridMultilevel"/>
    <w:tmpl w:val="1318D9A6"/>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20" w15:restartNumberingAfterBreak="0">
    <w:nsid w:val="49EF18D8"/>
    <w:multiLevelType w:val="hybridMultilevel"/>
    <w:tmpl w:val="B85E625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1" w15:restartNumberingAfterBreak="0">
    <w:nsid w:val="4CA10555"/>
    <w:multiLevelType w:val="hybridMultilevel"/>
    <w:tmpl w:val="9544B802"/>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22" w15:restartNumberingAfterBreak="0">
    <w:nsid w:val="530E15A9"/>
    <w:multiLevelType w:val="hybridMultilevel"/>
    <w:tmpl w:val="991A2202"/>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23" w15:restartNumberingAfterBreak="0">
    <w:nsid w:val="54A34451"/>
    <w:multiLevelType w:val="hybridMultilevel"/>
    <w:tmpl w:val="2DF0CC6A"/>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24" w15:restartNumberingAfterBreak="0">
    <w:nsid w:val="54EE0416"/>
    <w:multiLevelType w:val="hybridMultilevel"/>
    <w:tmpl w:val="FDEE28BC"/>
    <w:lvl w:ilvl="0" w:tplc="437C7724">
      <w:start w:val="1"/>
      <w:numFmt w:val="decimal"/>
      <w:lvlText w:val="%1."/>
      <w:lvlJc w:val="left"/>
      <w:pPr>
        <w:ind w:left="394" w:hanging="360"/>
      </w:pPr>
      <w:rPr>
        <w:rFonts w:hint="default"/>
      </w:rPr>
    </w:lvl>
    <w:lvl w:ilvl="1" w:tplc="04180019" w:tentative="1">
      <w:start w:val="1"/>
      <w:numFmt w:val="lowerLetter"/>
      <w:lvlText w:val="%2."/>
      <w:lvlJc w:val="left"/>
      <w:pPr>
        <w:ind w:left="1114" w:hanging="360"/>
      </w:pPr>
    </w:lvl>
    <w:lvl w:ilvl="2" w:tplc="0418001B" w:tentative="1">
      <w:start w:val="1"/>
      <w:numFmt w:val="lowerRoman"/>
      <w:lvlText w:val="%3."/>
      <w:lvlJc w:val="right"/>
      <w:pPr>
        <w:ind w:left="1834" w:hanging="180"/>
      </w:pPr>
    </w:lvl>
    <w:lvl w:ilvl="3" w:tplc="0418000F" w:tentative="1">
      <w:start w:val="1"/>
      <w:numFmt w:val="decimal"/>
      <w:lvlText w:val="%4."/>
      <w:lvlJc w:val="left"/>
      <w:pPr>
        <w:ind w:left="2554" w:hanging="360"/>
      </w:pPr>
    </w:lvl>
    <w:lvl w:ilvl="4" w:tplc="04180019" w:tentative="1">
      <w:start w:val="1"/>
      <w:numFmt w:val="lowerLetter"/>
      <w:lvlText w:val="%5."/>
      <w:lvlJc w:val="left"/>
      <w:pPr>
        <w:ind w:left="3274" w:hanging="360"/>
      </w:pPr>
    </w:lvl>
    <w:lvl w:ilvl="5" w:tplc="0418001B" w:tentative="1">
      <w:start w:val="1"/>
      <w:numFmt w:val="lowerRoman"/>
      <w:lvlText w:val="%6."/>
      <w:lvlJc w:val="right"/>
      <w:pPr>
        <w:ind w:left="3994" w:hanging="180"/>
      </w:pPr>
    </w:lvl>
    <w:lvl w:ilvl="6" w:tplc="0418000F" w:tentative="1">
      <w:start w:val="1"/>
      <w:numFmt w:val="decimal"/>
      <w:lvlText w:val="%7."/>
      <w:lvlJc w:val="left"/>
      <w:pPr>
        <w:ind w:left="4714" w:hanging="360"/>
      </w:pPr>
    </w:lvl>
    <w:lvl w:ilvl="7" w:tplc="04180019" w:tentative="1">
      <w:start w:val="1"/>
      <w:numFmt w:val="lowerLetter"/>
      <w:lvlText w:val="%8."/>
      <w:lvlJc w:val="left"/>
      <w:pPr>
        <w:ind w:left="5434" w:hanging="360"/>
      </w:pPr>
    </w:lvl>
    <w:lvl w:ilvl="8" w:tplc="0418001B" w:tentative="1">
      <w:start w:val="1"/>
      <w:numFmt w:val="lowerRoman"/>
      <w:lvlText w:val="%9."/>
      <w:lvlJc w:val="right"/>
      <w:pPr>
        <w:ind w:left="6154" w:hanging="180"/>
      </w:pPr>
    </w:lvl>
  </w:abstractNum>
  <w:abstractNum w:abstractNumId="25" w15:restartNumberingAfterBreak="0">
    <w:nsid w:val="55F56529"/>
    <w:multiLevelType w:val="hybridMultilevel"/>
    <w:tmpl w:val="698C96B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DEB3DEB"/>
    <w:multiLevelType w:val="hybridMultilevel"/>
    <w:tmpl w:val="4DD08D5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65292678"/>
    <w:multiLevelType w:val="hybridMultilevel"/>
    <w:tmpl w:val="56682F14"/>
    <w:lvl w:ilvl="0" w:tplc="6FC8DCAC">
      <w:start w:val="1"/>
      <w:numFmt w:val="decimal"/>
      <w:lvlText w:val="%1."/>
      <w:lvlJc w:val="left"/>
      <w:pPr>
        <w:tabs>
          <w:tab w:val="num" w:pos="1080"/>
        </w:tabs>
        <w:ind w:left="0" w:firstLine="0"/>
      </w:pPr>
      <w:rPr>
        <w:rFonts w:hint="default"/>
        <w:b w:val="0"/>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B074901"/>
    <w:multiLevelType w:val="hybridMultilevel"/>
    <w:tmpl w:val="D59A2DCC"/>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29" w15:restartNumberingAfterBreak="0">
    <w:nsid w:val="6FAD0993"/>
    <w:multiLevelType w:val="hybridMultilevel"/>
    <w:tmpl w:val="4148D8FA"/>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0" w15:restartNumberingAfterBreak="0">
    <w:nsid w:val="724D3BA4"/>
    <w:multiLevelType w:val="hybridMultilevel"/>
    <w:tmpl w:val="68C8450C"/>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31" w15:restartNumberingAfterBreak="0">
    <w:nsid w:val="73E90EAB"/>
    <w:multiLevelType w:val="hybridMultilevel"/>
    <w:tmpl w:val="E34A1F6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752D0733"/>
    <w:multiLevelType w:val="hybridMultilevel"/>
    <w:tmpl w:val="678270FE"/>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33" w15:restartNumberingAfterBreak="0">
    <w:nsid w:val="776B1888"/>
    <w:multiLevelType w:val="hybridMultilevel"/>
    <w:tmpl w:val="BA76E448"/>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34" w15:restartNumberingAfterBreak="0">
    <w:nsid w:val="7A986F58"/>
    <w:multiLevelType w:val="hybridMultilevel"/>
    <w:tmpl w:val="1A883BD8"/>
    <w:lvl w:ilvl="0" w:tplc="8188C7A8">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5" w15:restartNumberingAfterBreak="0">
    <w:nsid w:val="7D7E2BAF"/>
    <w:multiLevelType w:val="multilevel"/>
    <w:tmpl w:val="199E1CA0"/>
    <w:lvl w:ilvl="0">
      <w:start w:val="1"/>
      <w:numFmt w:val="decimal"/>
      <w:lvlText w:val="%1."/>
      <w:lvlJc w:val="left"/>
      <w:pPr>
        <w:ind w:left="360" w:hanging="360"/>
      </w:pPr>
      <w:rPr>
        <w:rFonts w:hint="default"/>
      </w:rPr>
    </w:lvl>
    <w:lvl w:ilvl="1">
      <w:start w:val="1"/>
      <w:numFmt w:val="bullet"/>
      <w:lvlText w:val=""/>
      <w:lvlJc w:val="left"/>
      <w:pPr>
        <w:ind w:left="716" w:hanging="432"/>
      </w:pPr>
      <w:rPr>
        <w:rFonts w:ascii="Symbol" w:hAnsi="Symbol"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bullet"/>
      <w:lvlText w:val=""/>
      <w:lvlJc w:val="left"/>
      <w:pPr>
        <w:ind w:left="2354" w:hanging="936"/>
      </w:pPr>
      <w:rPr>
        <w:rFonts w:ascii="Symbol" w:hAnsi="Symbo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ECA72C9"/>
    <w:multiLevelType w:val="hybridMultilevel"/>
    <w:tmpl w:val="D2463CF2"/>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7" w15:restartNumberingAfterBreak="0">
    <w:nsid w:val="7F314803"/>
    <w:multiLevelType w:val="hybridMultilevel"/>
    <w:tmpl w:val="D6D64D66"/>
    <w:lvl w:ilvl="0" w:tplc="BEA433E2">
      <w:start w:val="1"/>
      <w:numFmt w:val="decimal"/>
      <w:lvlText w:val="%1."/>
      <w:lvlJc w:val="left"/>
      <w:pPr>
        <w:ind w:left="720" w:hanging="360"/>
      </w:pPr>
      <w:rPr>
        <w:rFonts w:hint="default"/>
        <w:b w:val="0"/>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7F6D4D26"/>
    <w:multiLevelType w:val="hybridMultilevel"/>
    <w:tmpl w:val="FC1C6240"/>
    <w:lvl w:ilvl="0" w:tplc="39667C5A">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num w:numId="1">
    <w:abstractNumId w:val="7"/>
  </w:num>
  <w:num w:numId="2">
    <w:abstractNumId w:val="20"/>
  </w:num>
  <w:num w:numId="3">
    <w:abstractNumId w:val="36"/>
  </w:num>
  <w:num w:numId="4">
    <w:abstractNumId w:val="26"/>
  </w:num>
  <w:num w:numId="5">
    <w:abstractNumId w:val="4"/>
  </w:num>
  <w:num w:numId="6">
    <w:abstractNumId w:val="0"/>
  </w:num>
  <w:num w:numId="7">
    <w:abstractNumId w:val="34"/>
  </w:num>
  <w:num w:numId="8">
    <w:abstractNumId w:val="24"/>
  </w:num>
  <w:num w:numId="9">
    <w:abstractNumId w:val="37"/>
  </w:num>
  <w:num w:numId="10">
    <w:abstractNumId w:val="35"/>
  </w:num>
  <w:num w:numId="11">
    <w:abstractNumId w:val="2"/>
  </w:num>
  <w:num w:numId="12">
    <w:abstractNumId w:val="31"/>
  </w:num>
  <w:num w:numId="13">
    <w:abstractNumId w:val="25"/>
  </w:num>
  <w:num w:numId="14">
    <w:abstractNumId w:val="27"/>
  </w:num>
  <w:num w:numId="15">
    <w:abstractNumId w:val="10"/>
  </w:num>
  <w:num w:numId="16">
    <w:abstractNumId w:val="11"/>
  </w:num>
  <w:num w:numId="17">
    <w:abstractNumId w:val="17"/>
  </w:num>
  <w:num w:numId="18">
    <w:abstractNumId w:val="18"/>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FC6"/>
    <w:rsid w:val="00000BEF"/>
    <w:rsid w:val="000431AC"/>
    <w:rsid w:val="0005576D"/>
    <w:rsid w:val="00077987"/>
    <w:rsid w:val="0008180F"/>
    <w:rsid w:val="00087695"/>
    <w:rsid w:val="00093A8E"/>
    <w:rsid w:val="00094930"/>
    <w:rsid w:val="0009653A"/>
    <w:rsid w:val="000A264B"/>
    <w:rsid w:val="000C00A0"/>
    <w:rsid w:val="000C1339"/>
    <w:rsid w:val="000D0D88"/>
    <w:rsid w:val="000D15CA"/>
    <w:rsid w:val="000D2140"/>
    <w:rsid w:val="000F3E0A"/>
    <w:rsid w:val="00100661"/>
    <w:rsid w:val="001015D9"/>
    <w:rsid w:val="00104275"/>
    <w:rsid w:val="00120E71"/>
    <w:rsid w:val="00124560"/>
    <w:rsid w:val="00141D58"/>
    <w:rsid w:val="001466FA"/>
    <w:rsid w:val="001636F4"/>
    <w:rsid w:val="001704AD"/>
    <w:rsid w:val="00184A99"/>
    <w:rsid w:val="001928E8"/>
    <w:rsid w:val="001B47C8"/>
    <w:rsid w:val="001D513C"/>
    <w:rsid w:val="001D790D"/>
    <w:rsid w:val="001E64A4"/>
    <w:rsid w:val="001F11DB"/>
    <w:rsid w:val="001F2F0D"/>
    <w:rsid w:val="002035C2"/>
    <w:rsid w:val="00214FC6"/>
    <w:rsid w:val="00240F5B"/>
    <w:rsid w:val="00272CA6"/>
    <w:rsid w:val="0028613E"/>
    <w:rsid w:val="00295B9C"/>
    <w:rsid w:val="002A00C6"/>
    <w:rsid w:val="002A429C"/>
    <w:rsid w:val="002B5A85"/>
    <w:rsid w:val="002B63FB"/>
    <w:rsid w:val="002B7A88"/>
    <w:rsid w:val="002D3217"/>
    <w:rsid w:val="002E7B12"/>
    <w:rsid w:val="002F4B1F"/>
    <w:rsid w:val="0031239E"/>
    <w:rsid w:val="003154C0"/>
    <w:rsid w:val="00316236"/>
    <w:rsid w:val="00317663"/>
    <w:rsid w:val="003224F4"/>
    <w:rsid w:val="00332256"/>
    <w:rsid w:val="00335CF7"/>
    <w:rsid w:val="00353090"/>
    <w:rsid w:val="003843AB"/>
    <w:rsid w:val="00386C77"/>
    <w:rsid w:val="00395506"/>
    <w:rsid w:val="003B45D5"/>
    <w:rsid w:val="003B4F93"/>
    <w:rsid w:val="003B6D53"/>
    <w:rsid w:val="003C7596"/>
    <w:rsid w:val="003D201C"/>
    <w:rsid w:val="003D65E1"/>
    <w:rsid w:val="003E1712"/>
    <w:rsid w:val="003F0B3C"/>
    <w:rsid w:val="003F58DA"/>
    <w:rsid w:val="004045E9"/>
    <w:rsid w:val="0041520D"/>
    <w:rsid w:val="00441CFA"/>
    <w:rsid w:val="00446E59"/>
    <w:rsid w:val="0047019D"/>
    <w:rsid w:val="004A0A4C"/>
    <w:rsid w:val="004A5AEE"/>
    <w:rsid w:val="004A6111"/>
    <w:rsid w:val="004C31B8"/>
    <w:rsid w:val="004D2663"/>
    <w:rsid w:val="004D4F9B"/>
    <w:rsid w:val="004E4203"/>
    <w:rsid w:val="004F5859"/>
    <w:rsid w:val="00505278"/>
    <w:rsid w:val="00540E6C"/>
    <w:rsid w:val="00550E34"/>
    <w:rsid w:val="005534D5"/>
    <w:rsid w:val="00562CF9"/>
    <w:rsid w:val="005930C7"/>
    <w:rsid w:val="005952A5"/>
    <w:rsid w:val="005A640F"/>
    <w:rsid w:val="005D22E9"/>
    <w:rsid w:val="005E0120"/>
    <w:rsid w:val="005F7F59"/>
    <w:rsid w:val="006040A9"/>
    <w:rsid w:val="00611DA0"/>
    <w:rsid w:val="006140FB"/>
    <w:rsid w:val="00625F94"/>
    <w:rsid w:val="00642490"/>
    <w:rsid w:val="006504E7"/>
    <w:rsid w:val="00655623"/>
    <w:rsid w:val="00680195"/>
    <w:rsid w:val="0068172C"/>
    <w:rsid w:val="00693CE4"/>
    <w:rsid w:val="006A3B6C"/>
    <w:rsid w:val="006B791A"/>
    <w:rsid w:val="006D44EC"/>
    <w:rsid w:val="006D57E9"/>
    <w:rsid w:val="006E3D61"/>
    <w:rsid w:val="006E6649"/>
    <w:rsid w:val="00712168"/>
    <w:rsid w:val="007137E5"/>
    <w:rsid w:val="00720BF0"/>
    <w:rsid w:val="00724ACC"/>
    <w:rsid w:val="007757BF"/>
    <w:rsid w:val="00787338"/>
    <w:rsid w:val="007B43FC"/>
    <w:rsid w:val="007D6311"/>
    <w:rsid w:val="007D6A69"/>
    <w:rsid w:val="007E0304"/>
    <w:rsid w:val="00804505"/>
    <w:rsid w:val="008262A5"/>
    <w:rsid w:val="0083325F"/>
    <w:rsid w:val="008543CF"/>
    <w:rsid w:val="0086359E"/>
    <w:rsid w:val="00865805"/>
    <w:rsid w:val="00881694"/>
    <w:rsid w:val="00885345"/>
    <w:rsid w:val="008B76CF"/>
    <w:rsid w:val="008D04FD"/>
    <w:rsid w:val="008F1846"/>
    <w:rsid w:val="008F2CC5"/>
    <w:rsid w:val="008F7A4C"/>
    <w:rsid w:val="00916E3F"/>
    <w:rsid w:val="00926A61"/>
    <w:rsid w:val="00943603"/>
    <w:rsid w:val="00943F48"/>
    <w:rsid w:val="00954E3B"/>
    <w:rsid w:val="00955537"/>
    <w:rsid w:val="0095741B"/>
    <w:rsid w:val="009637DA"/>
    <w:rsid w:val="009807AB"/>
    <w:rsid w:val="0098647B"/>
    <w:rsid w:val="00994E18"/>
    <w:rsid w:val="00997664"/>
    <w:rsid w:val="009A2CD5"/>
    <w:rsid w:val="009A530B"/>
    <w:rsid w:val="009D1E13"/>
    <w:rsid w:val="009D2B40"/>
    <w:rsid w:val="009D6C5D"/>
    <w:rsid w:val="009E276D"/>
    <w:rsid w:val="00A079CB"/>
    <w:rsid w:val="00A554A9"/>
    <w:rsid w:val="00A70153"/>
    <w:rsid w:val="00A879B4"/>
    <w:rsid w:val="00A92602"/>
    <w:rsid w:val="00AC23A3"/>
    <w:rsid w:val="00AF2E6B"/>
    <w:rsid w:val="00B31506"/>
    <w:rsid w:val="00B34102"/>
    <w:rsid w:val="00B36DD3"/>
    <w:rsid w:val="00B45216"/>
    <w:rsid w:val="00B54787"/>
    <w:rsid w:val="00B67975"/>
    <w:rsid w:val="00B770CD"/>
    <w:rsid w:val="00B82635"/>
    <w:rsid w:val="00B83047"/>
    <w:rsid w:val="00B87FE1"/>
    <w:rsid w:val="00BA6EB3"/>
    <w:rsid w:val="00BB1C72"/>
    <w:rsid w:val="00BB67AE"/>
    <w:rsid w:val="00BB68AB"/>
    <w:rsid w:val="00BC22DD"/>
    <w:rsid w:val="00BC3F17"/>
    <w:rsid w:val="00BD5DEA"/>
    <w:rsid w:val="00C041E9"/>
    <w:rsid w:val="00C04F7F"/>
    <w:rsid w:val="00C20921"/>
    <w:rsid w:val="00C358A1"/>
    <w:rsid w:val="00C50B98"/>
    <w:rsid w:val="00C62E34"/>
    <w:rsid w:val="00C84A2C"/>
    <w:rsid w:val="00C86840"/>
    <w:rsid w:val="00C87558"/>
    <w:rsid w:val="00C92710"/>
    <w:rsid w:val="00C96D46"/>
    <w:rsid w:val="00CB3290"/>
    <w:rsid w:val="00CB6D72"/>
    <w:rsid w:val="00CC1E27"/>
    <w:rsid w:val="00CC5F68"/>
    <w:rsid w:val="00D1113A"/>
    <w:rsid w:val="00D14EFE"/>
    <w:rsid w:val="00D21B05"/>
    <w:rsid w:val="00D22247"/>
    <w:rsid w:val="00D30ABF"/>
    <w:rsid w:val="00D31586"/>
    <w:rsid w:val="00D81DEB"/>
    <w:rsid w:val="00DA449C"/>
    <w:rsid w:val="00DB466B"/>
    <w:rsid w:val="00DE2DBE"/>
    <w:rsid w:val="00DF3F56"/>
    <w:rsid w:val="00DF5E4E"/>
    <w:rsid w:val="00E074D8"/>
    <w:rsid w:val="00E16F93"/>
    <w:rsid w:val="00E178B8"/>
    <w:rsid w:val="00E24678"/>
    <w:rsid w:val="00E317EF"/>
    <w:rsid w:val="00E64334"/>
    <w:rsid w:val="00E8108F"/>
    <w:rsid w:val="00E92E8A"/>
    <w:rsid w:val="00EA0A34"/>
    <w:rsid w:val="00EA1585"/>
    <w:rsid w:val="00EA5147"/>
    <w:rsid w:val="00EA57F0"/>
    <w:rsid w:val="00EB369A"/>
    <w:rsid w:val="00EB467F"/>
    <w:rsid w:val="00EC433C"/>
    <w:rsid w:val="00EF139A"/>
    <w:rsid w:val="00EF20EE"/>
    <w:rsid w:val="00F02455"/>
    <w:rsid w:val="00F32080"/>
    <w:rsid w:val="00F621D1"/>
    <w:rsid w:val="00F647B9"/>
    <w:rsid w:val="00F82AD2"/>
    <w:rsid w:val="00F83082"/>
    <w:rsid w:val="00F96DCF"/>
    <w:rsid w:val="00FB12E3"/>
    <w:rsid w:val="00FD68A0"/>
    <w:rsid w:val="00FF6C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59000AF-7BE3-4DC3-82E0-C171BE342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4FC6"/>
    <w:rPr>
      <w:rFonts w:ascii="Calibri" w:eastAsia="Calibri" w:hAnsi="Calibri" w:cs="Times New Roman"/>
      <w:lang w:val="ro-RO"/>
    </w:rPr>
  </w:style>
  <w:style w:type="paragraph" w:styleId="Heading2">
    <w:name w:val="heading 2"/>
    <w:aliases w:val="Nadpis_2,AB,Numbered - 2,Sub Heading,ignorer2,Heading 2 Char1,Heading 2 Char Char"/>
    <w:basedOn w:val="Normal"/>
    <w:next w:val="Normal"/>
    <w:link w:val="Heading2Char"/>
    <w:qFormat/>
    <w:rsid w:val="004E4203"/>
    <w:pPr>
      <w:keepNext/>
      <w:spacing w:before="240" w:after="60" w:line="240" w:lineRule="auto"/>
      <w:outlineLvl w:val="1"/>
    </w:pPr>
    <w:rPr>
      <w:rFonts w:ascii="Trebuchet MS" w:eastAsia="Times New Roman" w:hAnsi="Trebuchet MS" w:cs="Arial"/>
      <w:b/>
      <w:b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0A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0A34"/>
  </w:style>
  <w:style w:type="paragraph" w:styleId="Footer">
    <w:name w:val="footer"/>
    <w:basedOn w:val="Normal"/>
    <w:link w:val="FooterChar"/>
    <w:uiPriority w:val="99"/>
    <w:unhideWhenUsed/>
    <w:rsid w:val="00EA0A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0A34"/>
  </w:style>
  <w:style w:type="paragraph" w:styleId="BalloonText">
    <w:name w:val="Balloon Text"/>
    <w:basedOn w:val="Normal"/>
    <w:link w:val="BalloonTextChar"/>
    <w:uiPriority w:val="99"/>
    <w:semiHidden/>
    <w:unhideWhenUsed/>
    <w:rsid w:val="00EA0A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0A34"/>
    <w:rPr>
      <w:rFonts w:ascii="Tahoma" w:hAnsi="Tahoma" w:cs="Tahoma"/>
      <w:sz w:val="16"/>
      <w:szCs w:val="16"/>
    </w:rPr>
  </w:style>
  <w:style w:type="paragraph" w:styleId="ListParagraph">
    <w:name w:val="List Paragraph"/>
    <w:basedOn w:val="Normal"/>
    <w:uiPriority w:val="34"/>
    <w:qFormat/>
    <w:rsid w:val="009A530B"/>
    <w:pPr>
      <w:ind w:left="720"/>
      <w:contextualSpacing/>
    </w:pPr>
  </w:style>
  <w:style w:type="character" w:styleId="Hyperlink">
    <w:name w:val="Hyperlink"/>
    <w:basedOn w:val="DefaultParagraphFont"/>
    <w:uiPriority w:val="99"/>
    <w:unhideWhenUsed/>
    <w:rsid w:val="0047019D"/>
    <w:rPr>
      <w:color w:val="0000FF" w:themeColor="hyperlink"/>
      <w:u w:val="single"/>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E4203"/>
    <w:rPr>
      <w:rFonts w:ascii="Trebuchet MS" w:eastAsia="Times New Roman" w:hAnsi="Trebuchet MS" w:cs="Arial"/>
      <w:b/>
      <w:bCs/>
      <w:sz w:val="24"/>
      <w:szCs w:val="2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2330047">
      <w:bodyDiv w:val="1"/>
      <w:marLeft w:val="0"/>
      <w:marRight w:val="0"/>
      <w:marTop w:val="0"/>
      <w:marBottom w:val="0"/>
      <w:divBdr>
        <w:top w:val="none" w:sz="0" w:space="0" w:color="auto"/>
        <w:left w:val="none" w:sz="0" w:space="0" w:color="auto"/>
        <w:bottom w:val="none" w:sz="0" w:space="0" w:color="auto"/>
        <w:right w:val="none" w:sz="0" w:space="0" w:color="auto"/>
      </w:divBdr>
    </w:div>
    <w:div w:id="1774781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hyperlink" Target="mailto:office@itideltadunarii.com" TargetMode="External"/><Relationship Id="rId2" Type="http://schemas.openxmlformats.org/officeDocument/2006/relationships/hyperlink" Target="http://www.itideltadunarii.com" TargetMode="External"/><Relationship Id="rId1" Type="http://schemas.openxmlformats.org/officeDocument/2006/relationships/hyperlink" Target="mailto:office@itideltadunarii.com" TargetMode="External"/><Relationship Id="rId6" Type="http://schemas.openxmlformats.org/officeDocument/2006/relationships/image" Target="media/image2.jpg"/><Relationship Id="rId5" Type="http://schemas.openxmlformats.org/officeDocument/2006/relationships/image" Target="media/image1.png"/><Relationship Id="rId4" Type="http://schemas.openxmlformats.org/officeDocument/2006/relationships/hyperlink" Target="http://www.itideltadunarii.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ANTET%20ITI.dotx"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ANTET ITI.dotx</Template>
  <TotalTime>1</TotalTime>
  <Pages>4</Pages>
  <Words>1506</Words>
  <Characters>8589</Characters>
  <Application>Microsoft Office Word</Application>
  <DocSecurity>0</DocSecurity>
  <Lines>71</Lines>
  <Paragraphs>20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CJ Tulcea</Company>
  <LinksUpToDate>false</LinksUpToDate>
  <CharactersWithSpaces>10075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GigiM</cp:lastModifiedBy>
  <cp:revision>6</cp:revision>
  <cp:lastPrinted>2018-05-09T16:41:00Z</cp:lastPrinted>
  <dcterms:created xsi:type="dcterms:W3CDTF">2018-10-02T09:47:00Z</dcterms:created>
  <dcterms:modified xsi:type="dcterms:W3CDTF">2019-05-14T10:08:00Z</dcterms:modified>
</cp:coreProperties>
</file>